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8A" w:rsidRDefault="001F498A" w:rsidP="001F498A">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PENGARUH PENDAPATAN PREMI, HASIL UNDERWRITING, RBC DAN RASIO KECUKUPAN INVESTASI TERHADAP KINERJA KEUANGAN PERUSAHAAN ASURANSI YANG TERDAFTAR DI BEI</w:t>
      </w:r>
    </w:p>
    <w:p w:rsidR="001F498A" w:rsidRDefault="001F498A" w:rsidP="001F498A">
      <w:pPr>
        <w:spacing w:after="0" w:line="240" w:lineRule="auto"/>
        <w:jc w:val="center"/>
        <w:rPr>
          <w:rFonts w:asciiTheme="majorBidi" w:hAnsiTheme="majorBidi" w:cstheme="majorBidi"/>
          <w:b/>
          <w:bCs/>
          <w:sz w:val="24"/>
          <w:szCs w:val="24"/>
        </w:rPr>
      </w:pPr>
    </w:p>
    <w:p w:rsidR="001F498A" w:rsidRDefault="001F498A" w:rsidP="001F498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Harma Dani, Jumawan Jasman, Asriany</w:t>
      </w:r>
    </w:p>
    <w:p w:rsidR="001F498A" w:rsidRDefault="001F498A" w:rsidP="001F498A">
      <w:pPr>
        <w:spacing w:after="0" w:line="240" w:lineRule="auto"/>
        <w:jc w:val="center"/>
        <w:rPr>
          <w:rFonts w:asciiTheme="majorBidi" w:hAnsiTheme="majorBidi" w:cstheme="majorBidi"/>
          <w:sz w:val="24"/>
          <w:szCs w:val="24"/>
        </w:rPr>
      </w:pPr>
      <w:r>
        <w:rPr>
          <w:rFonts w:asciiTheme="majorBidi" w:hAnsiTheme="majorBidi" w:cstheme="majorBidi"/>
          <w:sz w:val="24"/>
          <w:szCs w:val="24"/>
        </w:rPr>
        <w:t>Ekonomi dan Bisnis/ Universitas Muhammadiyah Palopo</w:t>
      </w:r>
    </w:p>
    <w:p w:rsidR="001F498A" w:rsidRDefault="00641FE3" w:rsidP="001F498A">
      <w:pPr>
        <w:spacing w:after="0" w:line="240" w:lineRule="auto"/>
        <w:jc w:val="center"/>
        <w:rPr>
          <w:rFonts w:asciiTheme="majorBidi" w:hAnsiTheme="majorBidi" w:cstheme="majorBidi"/>
          <w:sz w:val="24"/>
          <w:szCs w:val="24"/>
        </w:rPr>
      </w:pPr>
      <w:hyperlink r:id="rId8" w:history="1">
        <w:r w:rsidR="001F498A" w:rsidRPr="00AB5C15">
          <w:rPr>
            <w:rStyle w:val="Hyperlink"/>
            <w:rFonts w:asciiTheme="majorBidi" w:hAnsiTheme="majorBidi" w:cstheme="majorBidi"/>
            <w:sz w:val="24"/>
            <w:szCs w:val="24"/>
          </w:rPr>
          <w:t>harma.dani@student.umpalopo.ac.id</w:t>
        </w:r>
      </w:hyperlink>
    </w:p>
    <w:p w:rsidR="000232F4" w:rsidRDefault="000232F4" w:rsidP="001F498A">
      <w:pPr>
        <w:spacing w:after="0" w:line="240" w:lineRule="auto"/>
        <w:jc w:val="center"/>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0232F4" w:rsidRDefault="00832527" w:rsidP="000232F4">
      <w:pPr>
        <w:spacing w:after="0" w:line="240" w:lineRule="auto"/>
        <w:jc w:val="both"/>
        <w:rPr>
          <w:rFonts w:asciiTheme="majorBidi" w:hAnsiTheme="majorBidi" w:cstheme="majorBidi"/>
        </w:rPr>
      </w:pPr>
      <w:r>
        <w:rPr>
          <w:rFonts w:asciiTheme="majorBidi" w:hAnsiTheme="majorBidi" w:cstheme="majorBidi"/>
          <w:lang w:val="en-US"/>
        </w:rPr>
        <w:t xml:space="preserve">Sharia insurance and its development in the Islamic world is an urgent issue. Likewise with. In inonesia where the mjority of the population is Muslim. There are also point in Islamic teachings governing insurance regulations. </w:t>
      </w:r>
      <w:r w:rsidR="001F498A">
        <w:rPr>
          <w:rFonts w:asciiTheme="majorBidi" w:hAnsiTheme="majorBidi" w:cstheme="majorBidi"/>
        </w:rPr>
        <w:t xml:space="preserve">This study aims to determine the effect of premium income, </w:t>
      </w:r>
      <w:r w:rsidR="001F498A" w:rsidRPr="00AD420C">
        <w:rPr>
          <w:rFonts w:asciiTheme="majorBidi" w:hAnsiTheme="majorBidi" w:cstheme="majorBidi"/>
          <w:i/>
        </w:rPr>
        <w:t>underwriting</w:t>
      </w:r>
      <w:r w:rsidR="001F498A">
        <w:rPr>
          <w:rFonts w:asciiTheme="majorBidi" w:hAnsiTheme="majorBidi" w:cstheme="majorBidi"/>
        </w:rPr>
        <w:t xml:space="preserve"> results, Risk Based Capital (RBC), Investment Adequacy Ratio (RKI) on the financial performance of insurance companies and the research was conducted on insurance compnies and the research was conducted on insurance companies listed on the Indonesia Stock Exchange for the 2017-2021 period. This type of research is descriptive quantitative which explains the characteristics of the variables studied using number/bumerics. The case stuies in this study were 10 insurance companies in sampling. The sampling method in this study was purposive sampling based on the criteria of insurance companies listed oh the Indonesia Stock Exchange from 2017-2021 which published financial reports for that year. Hypotheis testing was carried out using the classical assumption test, multiple linear analysisi. Statistical application statistical Package for the Social Sciences (SPSS is used in data analysis to facilitate data processing.</w:t>
      </w:r>
    </w:p>
    <w:p w:rsidR="00AD420C" w:rsidRPr="00AD420C" w:rsidRDefault="00AD420C" w:rsidP="000232F4">
      <w:pPr>
        <w:spacing w:after="0" w:line="240" w:lineRule="auto"/>
        <w:jc w:val="both"/>
        <w:rPr>
          <w:rFonts w:asciiTheme="majorBidi" w:hAnsiTheme="majorBidi" w:cstheme="majorBidi"/>
        </w:rPr>
      </w:pPr>
      <w:r>
        <w:rPr>
          <w:rFonts w:asciiTheme="majorBidi" w:hAnsiTheme="majorBidi" w:cstheme="majorBidi"/>
          <w:b/>
        </w:rPr>
        <w:t xml:space="preserve">Keyword: </w:t>
      </w:r>
      <w:r>
        <w:rPr>
          <w:rFonts w:asciiTheme="majorBidi" w:hAnsiTheme="majorBidi" w:cstheme="majorBidi"/>
        </w:rPr>
        <w:t xml:space="preserve">Premium Income, </w:t>
      </w:r>
      <w:r>
        <w:rPr>
          <w:rFonts w:asciiTheme="majorBidi" w:hAnsiTheme="majorBidi" w:cstheme="majorBidi"/>
          <w:i/>
        </w:rPr>
        <w:t>Underweriting</w:t>
      </w:r>
      <w:r>
        <w:rPr>
          <w:rFonts w:asciiTheme="majorBidi" w:hAnsiTheme="majorBidi" w:cstheme="majorBidi"/>
        </w:rPr>
        <w:t xml:space="preserve"> results, RBC, RKI</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0232F4" w:rsidRPr="00832527" w:rsidRDefault="00832527" w:rsidP="000232F4">
      <w:pPr>
        <w:spacing w:after="0" w:line="240" w:lineRule="auto"/>
        <w:jc w:val="both"/>
        <w:rPr>
          <w:rFonts w:asciiTheme="majorBidi" w:hAnsiTheme="majorBidi" w:cstheme="majorBidi"/>
          <w:lang w:val="en-US"/>
        </w:rPr>
      </w:pPr>
      <w:r>
        <w:rPr>
          <w:rFonts w:asciiTheme="majorBidi" w:hAnsiTheme="majorBidi" w:cstheme="majorBidi"/>
          <w:lang w:val="en-US"/>
        </w:rPr>
        <w:t xml:space="preserve">Asuransi dalam perkembangannya di dunia Islam merupakan isu yang mendesak. Begitu pula dengan di Indonesia yang mayoritas penduduknya beragama Islam ada. Ada juga poin dalam ajaran Islam yang mengatur peraturan asuansi. </w:t>
      </w:r>
      <w:r w:rsidR="001F498A">
        <w:rPr>
          <w:rFonts w:asciiTheme="majorBidi" w:hAnsiTheme="majorBidi" w:cstheme="majorBidi"/>
        </w:rPr>
        <w:t xml:space="preserve">Penelitian ini bertujuan untuk mengetahui pengaruh pendapatan premi, hasil </w:t>
      </w:r>
      <w:r w:rsidR="001F498A">
        <w:rPr>
          <w:rFonts w:asciiTheme="majorBidi" w:hAnsiTheme="majorBidi" w:cstheme="majorBidi"/>
          <w:i/>
        </w:rPr>
        <w:t xml:space="preserve">underwriting, Risk Based Capital </w:t>
      </w:r>
      <w:r w:rsidR="001F498A">
        <w:rPr>
          <w:rFonts w:asciiTheme="majorBidi" w:hAnsiTheme="majorBidi" w:cstheme="majorBidi"/>
        </w:rPr>
        <w:t xml:space="preserve">(RBC), Rasio Kecukupan Investasi (RKI) terhadap kinerja keuangan perusahaan asuransi dan penelitian dilakukan pada perusahaan asuransi yang terdaftar di Bursa Efek Indonesia periode 2017-2021. Jenis dari penilitian ini adalah deskriptif kuantitatif yang menjelaskan karaktersitik dari variabel yang di terliti yang menggunakan angka/bumerik. Studi kasus pada penelitian ini sebanyak 10 perusahaan asuransi dalam pengambilan sampel. Metode pengambilan sampel dalam penelitian ini adalah purposive sampling yang berdasarkan kriteria perusahaan asuransi yang terdaftar di Bursa Efek Indonesia dari tahun 2017-2021 yang menerbitkan laporan keuangan di tahun tersebut. Pengujian hipotesisi dilakukan dengan menggunakan uji asumsi klasik, analisis linear berganda . aplikasi statistik Statistical Package for the Social Sciences (SPSS)  digunakan dalam analisis data untuk memudahkan pengolahan data. </w:t>
      </w:r>
    </w:p>
    <w:p w:rsidR="000232F4" w:rsidRDefault="00AD420C" w:rsidP="000232F4">
      <w:pPr>
        <w:spacing w:after="0" w:line="240" w:lineRule="auto"/>
        <w:jc w:val="both"/>
        <w:rPr>
          <w:rFonts w:asciiTheme="majorBidi" w:hAnsiTheme="majorBidi" w:cstheme="majorBidi"/>
          <w:i/>
        </w:rPr>
      </w:pPr>
      <w:r>
        <w:rPr>
          <w:rFonts w:asciiTheme="majorBidi" w:hAnsiTheme="majorBidi" w:cstheme="majorBidi"/>
          <w:b/>
          <w:bCs/>
        </w:rPr>
        <w:t>Kata Kunci</w:t>
      </w:r>
      <w:r w:rsidR="000232F4">
        <w:rPr>
          <w:rFonts w:asciiTheme="majorBidi" w:hAnsiTheme="majorBidi" w:cstheme="majorBidi"/>
          <w:b/>
          <w:bCs/>
        </w:rPr>
        <w:t>:</w:t>
      </w:r>
      <w:r w:rsidR="000232F4">
        <w:rPr>
          <w:rFonts w:asciiTheme="majorBidi" w:hAnsiTheme="majorBidi" w:cstheme="majorBidi"/>
        </w:rPr>
        <w:t xml:space="preserve"> </w:t>
      </w:r>
      <w:r w:rsidR="001F498A">
        <w:rPr>
          <w:rFonts w:asciiTheme="majorBidi" w:hAnsiTheme="majorBidi" w:cstheme="majorBidi"/>
        </w:rPr>
        <w:t xml:space="preserve">Pendapatan Premi, Hasil </w:t>
      </w:r>
      <w:r w:rsidR="001F498A" w:rsidRPr="001F498A">
        <w:rPr>
          <w:rFonts w:asciiTheme="majorBidi" w:hAnsiTheme="majorBidi" w:cstheme="majorBidi"/>
          <w:i/>
        </w:rPr>
        <w:t>Underwriting</w:t>
      </w:r>
      <w:r w:rsidR="001F498A">
        <w:rPr>
          <w:rFonts w:asciiTheme="majorBidi" w:hAnsiTheme="majorBidi" w:cstheme="majorBidi"/>
        </w:rPr>
        <w:t>, RBC, RKI</w:t>
      </w:r>
    </w:p>
    <w:p w:rsidR="001F498A" w:rsidRPr="001F498A" w:rsidRDefault="001F498A" w:rsidP="000232F4">
      <w:pPr>
        <w:spacing w:after="0" w:line="240" w:lineRule="auto"/>
        <w:jc w:val="both"/>
        <w:rPr>
          <w:rFonts w:asciiTheme="majorBidi" w:hAnsiTheme="majorBidi" w:cstheme="majorBidi"/>
          <w: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rsidR="000232F4" w:rsidRDefault="001F498A" w:rsidP="000232F4">
      <w:pPr>
        <w:spacing w:after="0" w:line="240" w:lineRule="auto"/>
        <w:jc w:val="both"/>
        <w:rPr>
          <w:rFonts w:asciiTheme="majorBidi" w:hAnsiTheme="majorBidi" w:cstheme="majorBidi"/>
        </w:rPr>
      </w:pPr>
      <w:r>
        <w:rPr>
          <w:rFonts w:ascii="Times New Roman" w:hAnsi="Times New Roman" w:cs="Times New Roman"/>
          <w:sz w:val="24"/>
          <w:szCs w:val="24"/>
        </w:rPr>
        <w:tab/>
      </w:r>
      <w:r w:rsidRPr="000C6904">
        <w:rPr>
          <w:rFonts w:ascii="Times New Roman" w:hAnsi="Times New Roman" w:cs="Times New Roman"/>
          <w:sz w:val="24"/>
          <w:szCs w:val="24"/>
        </w:rPr>
        <w:t xml:space="preserve">Kebutuhan dan keinginan orang yang semakin besar akan lebih banyak jenis barang dan jasa berarti tidak ada yang bisa memprediksi apa yang akan terjadi di masa depan. Selama kita hidup, kita tidak lepas dari berbagai resiko. Meskipun perkembangan teknologi saat ini menyebabkan terjadinya transaksi Perekonomian bekerja dengan berbagai perantara, yang mengkhawatirkan orang tentang resiko yang mereka hadapi. </w:t>
      </w:r>
      <w:r w:rsidR="00503983" w:rsidRPr="000C6904">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{"citationItems":[{"id":"ITEM-1","itemData":{"author":[{"dropping-particle":"","family":"Terdaftar","given":"Yang","non-dropping-particle":"","parse-names":false,"suffix":""},{"dropping-particle":"","family":"Bursa","given":"D I","non-dropping-particle":"","parse-names":false,"suffix":""},{"dropping-particle":"","family":"Indonesia","given":"Efek","non-dropping-particle":"","parse-names":false,"suffix":""}],"id":"ITEM-1","issue":"Tahun","issued":{"date-parts":[["2020"]]},"title":"View metadata, citation and similar papers at core.ac.uk","type":"article-journal","volume":"1"},"uris":["http://www.mendeley.com/documents/?uuid=54d7c161-542c-485c-ab3d-0f833fcea062","http://www.mendeley.com/documents/?uuid=fb56c10c-d473-4f46-bfd3-ba873546b69b"]}],"mendeley":{"formattedCitation":"(Terdaftar et al., 2020)","plainTextFormattedCitation":"(Terdaftar et al., 2020)","previouslyFormattedCitation":"(Terdaftar et al., 2020)"},"properties":{"noteIndex":0},"schema":"https://github.com/citation-style-language/schema/raw/master/csl-citation.json"}</w:instrText>
      </w:r>
      <w:r w:rsidR="00503983" w:rsidRPr="000C6904">
        <w:rPr>
          <w:rFonts w:ascii="Times New Roman" w:hAnsi="Times New Roman" w:cs="Times New Roman"/>
          <w:sz w:val="24"/>
          <w:szCs w:val="24"/>
        </w:rPr>
        <w:fldChar w:fldCharType="separate"/>
      </w:r>
      <w:r w:rsidRPr="000C6904">
        <w:rPr>
          <w:rFonts w:ascii="Times New Roman" w:hAnsi="Times New Roman" w:cs="Times New Roman"/>
          <w:noProof/>
          <w:sz w:val="24"/>
          <w:szCs w:val="24"/>
        </w:rPr>
        <w:t>(Terdaftar et al., 2020)</w:t>
      </w:r>
      <w:r w:rsidR="00503983" w:rsidRPr="000C690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C6904">
        <w:rPr>
          <w:rFonts w:ascii="Times New Roman" w:hAnsi="Times New Roman" w:cs="Times New Roman"/>
          <w:sz w:val="24"/>
          <w:szCs w:val="24"/>
        </w:rPr>
        <w:t>Mengantisipasi risiko yang tidak terduga, pengusaha atau individu mengamankan barang, pinjaman atau jiwa mereka, yang menciptakan kebutuhan pengurangan risiko, itulah konsep asuransi.</w:t>
      </w:r>
      <w:r w:rsidR="00503983" w:rsidRPr="000C6904">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{"citationItems":[{"id":"ITEM-1","itemData":{"author":[{"dropping-particle":"","family":"Agustiranda","given":"Wanda","non-dropping-particle":"","parse-names":false,"suffix":""},{"dropping-particle":"","family":"Bakar","given":"Samadi W","non-dropping-particle":"","parse-names":false,"suffix":""}],"id":"ITEM-1","issued":{"date-parts":[["2014"]]},"page":"1-12","title":"Pengaruh pendapatan premi, pembayaran klaim, dan","type":"article-journal"},"uris":["http://www.mendeley.com/documents/?uuid=3947784c-aa46-4ff2-8328-5da057505646","http://www.mendeley.com/documents/?uuid=0cf1d690-962d-4728-94ef-fee7a002989d"]}],"mendeley":{"formattedCitation":"(Agustiranda &amp; Bakar, 2014)","plainTextFormattedCitation":"(Agustiranda &amp; Bakar, 2014)","previouslyFormattedCitation":"(Agustiranda &amp; Bakar, 2014)"},"properties":{"noteIndex":0},"schema":"https://github.com/citation-style-language/schema/raw/master/csl-citation.json"}</w:instrText>
      </w:r>
      <w:r w:rsidR="00503983" w:rsidRPr="000C6904">
        <w:rPr>
          <w:rFonts w:ascii="Times New Roman" w:hAnsi="Times New Roman" w:cs="Times New Roman"/>
          <w:sz w:val="24"/>
          <w:szCs w:val="24"/>
        </w:rPr>
        <w:fldChar w:fldCharType="separate"/>
      </w:r>
      <w:r w:rsidRPr="000C6904">
        <w:rPr>
          <w:rFonts w:ascii="Times New Roman" w:hAnsi="Times New Roman" w:cs="Times New Roman"/>
          <w:noProof/>
          <w:sz w:val="24"/>
          <w:szCs w:val="24"/>
        </w:rPr>
        <w:t>(Agustiranda &amp; Bakar, 2014)</w:t>
      </w:r>
      <w:r w:rsidR="00503983" w:rsidRPr="000C6904">
        <w:rPr>
          <w:rFonts w:ascii="Times New Roman" w:hAnsi="Times New Roman" w:cs="Times New Roman"/>
          <w:sz w:val="24"/>
          <w:szCs w:val="24"/>
        </w:rPr>
        <w:fldChar w:fldCharType="end"/>
      </w:r>
    </w:p>
    <w:p w:rsidR="001F498A" w:rsidRDefault="001F498A" w:rsidP="001F49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0C6904">
        <w:rPr>
          <w:rFonts w:ascii="Times New Roman" w:hAnsi="Times New Roman" w:cs="Times New Roman"/>
          <w:sz w:val="24"/>
          <w:szCs w:val="24"/>
        </w:rPr>
        <w:t xml:space="preserve">Masih banyak orang yang masih kebingungan dan merasa ragu untuk mengatakan atau sekedar setuju bahwa asuransi itu penting. Berbagai ketakutan yang ada menimbulkan keraguan pada banyak orang, sehingga enggan untuk mengambil asuransi. Manfaat asuransi jiwa memang banyak dan sampai saat ini masih banyak yang salah langkah dalam memilih </w:t>
      </w:r>
      <w:r w:rsidRPr="000C6904">
        <w:rPr>
          <w:rFonts w:ascii="Times New Roman" w:hAnsi="Times New Roman" w:cs="Times New Roman"/>
          <w:sz w:val="24"/>
          <w:szCs w:val="24"/>
        </w:rPr>
        <w:lastRenderedPageBreak/>
        <w:t xml:space="preserve">asuransi. Menentukan asuransi yang tepat tentunya dilakukan dengan menentukan kebutuhan, jenis dan karakteristik produk serta manfaat yang dapat dicapai. </w:t>
      </w:r>
      <w:r w:rsidR="00503983" w:rsidRPr="000C6904">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Ekonomi","given":"Fakultas","non-dropping-particle":"","parse-names":false,"suffix":""},{"dropping-particle":"","family":"Dharmawangsa","given":"Universitas","non-dropping-particle":"","parse-names":false,"suffix":""}],"id":"ITEM-1","issue":"1","issued":{"date-parts":[["2020"]]},"page":"37-53","title":"Umar Hamdan Nasution","type":"article-journal","volume":"5"},"uris":["http://www.mendeley.com/documents/?uuid=116e3bda-ee96-4945-9b13-4491796ea0fd","http://www.mendeley.com/documents/?uuid=2a1a9e04-cac3-4734-8f9f-8f67c27c2bed"]}],"mendeley":{"formattedCitation":"(Ekonomi &amp; Dharmawangsa, 2020)","plainTextFormattedCitation":"(Ekonomi &amp; Dharmawangsa, 2020)","previouslyFormattedCitation":"(Ekonomi &amp; Dharmawangsa, 2020)"},"properties":{"noteIndex":0},"schema":"https://github.com/citation-style-language/schema/raw/master/csl-citation.json"}</w:instrText>
      </w:r>
      <w:r w:rsidR="00503983" w:rsidRPr="000C6904">
        <w:rPr>
          <w:rFonts w:ascii="Times New Roman" w:hAnsi="Times New Roman" w:cs="Times New Roman"/>
          <w:sz w:val="24"/>
          <w:szCs w:val="24"/>
        </w:rPr>
        <w:fldChar w:fldCharType="separate"/>
      </w:r>
      <w:r w:rsidRPr="000C6904">
        <w:rPr>
          <w:rFonts w:ascii="Times New Roman" w:hAnsi="Times New Roman" w:cs="Times New Roman"/>
          <w:noProof/>
          <w:sz w:val="24"/>
          <w:szCs w:val="24"/>
        </w:rPr>
        <w:t>(Ekonomi &amp; Dharmawangsa, 2020)</w:t>
      </w:r>
      <w:r w:rsidR="00503983" w:rsidRPr="000C6904">
        <w:rPr>
          <w:rFonts w:ascii="Times New Roman" w:hAnsi="Times New Roman" w:cs="Times New Roman"/>
          <w:sz w:val="24"/>
          <w:szCs w:val="24"/>
        </w:rPr>
        <w:fldChar w:fldCharType="end"/>
      </w:r>
      <w:r w:rsidRPr="000C6904">
        <w:rPr>
          <w:rFonts w:ascii="Times New Roman" w:hAnsi="Times New Roman" w:cs="Times New Roman"/>
          <w:sz w:val="24"/>
          <w:szCs w:val="24"/>
        </w:rPr>
        <w:t>.</w:t>
      </w:r>
    </w:p>
    <w:p w:rsidR="001F498A" w:rsidRDefault="001F498A" w:rsidP="001F49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Asuransi merupakan pilihan untuk mengendalikan dan mengelola risiko keuangan dari hal-hal yang tidak diinginkan. Oleh karena itu,perusahaan asuransi memerlukan dana yang cukup besar untuk menutup semua risiko tertanggung guna untuk mengelola semua risiko tertanggung. </w:t>
      </w:r>
      <w:r w:rsidR="00503983" w:rsidRPr="00804895">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Klaim","given":"Beban","non-dropping-particle":"","parse-names":false,"suffix":""},{"dropping-particle":"","family":"Capital","given":"Based","non-dropping-particle":"","parse-names":false,"suffix":""}],"id":"ITEM-1","issue":"2","issued":{"date-parts":[["2020"]]},"page":"155-166","title":"Jpmb 155","type":"article-journal","volume":"2"},"uris":["http://www.mendeley.com/documents/?uuid=423dc4d9-8129-4498-84c3-16f1a3635b98","http://www.mendeley.com/documents/?uuid=48a9fe51-19a3-410d-bc56-9852f697314d"]}],"mendeley":{"formattedCitation":"(Klaim &amp; Capital, 2020)","plainTextFormattedCitation":"(Klaim &amp; Capital, 2020)","previouslyFormattedCitation":"(Klaim &amp; Capital, 2020)"},"properties":{"noteIndex":0},"schema":"https://github.com/citation-style-language/schema/raw/master/csl-citation.json"}</w:instrText>
      </w:r>
      <w:r w:rsidR="00503983" w:rsidRPr="00804895">
        <w:rPr>
          <w:rFonts w:ascii="Times New Roman" w:hAnsi="Times New Roman" w:cs="Times New Roman"/>
          <w:sz w:val="24"/>
          <w:szCs w:val="24"/>
        </w:rPr>
        <w:fldChar w:fldCharType="separate"/>
      </w:r>
      <w:r w:rsidRPr="00804895">
        <w:rPr>
          <w:rFonts w:ascii="Times New Roman" w:hAnsi="Times New Roman" w:cs="Times New Roman"/>
          <w:noProof/>
          <w:sz w:val="24"/>
          <w:szCs w:val="24"/>
        </w:rPr>
        <w:t>(Klaim &amp; Capital, 2020)</w:t>
      </w:r>
      <w:r w:rsidR="00503983" w:rsidRPr="00804895">
        <w:rPr>
          <w:rFonts w:ascii="Times New Roman" w:hAnsi="Times New Roman" w:cs="Times New Roman"/>
          <w:sz w:val="24"/>
          <w:szCs w:val="24"/>
        </w:rPr>
        <w:fldChar w:fldCharType="end"/>
      </w:r>
      <w:r>
        <w:rPr>
          <w:rFonts w:ascii="Times New Roman" w:hAnsi="Times New Roman" w:cs="Times New Roman"/>
          <w:sz w:val="24"/>
          <w:szCs w:val="24"/>
        </w:rPr>
        <w:t xml:space="preserve">. Perushaan asuransi berperan penting dalam berinvestasi atau melindungi jiwa dan harta benda untuk mencegah kejadian yang tidak terduga seperti kecelakaan, kebakaran dan kerugiaan lainnya. Pada dasarnya perkembangan kegiatan asuransi di dorong oleh keinginan masyarakat untuk menghadapi risiko yang timbul dari berbagai aktivitas seperti risiko kematian atau harta benda </w:t>
      </w:r>
      <w:r w:rsidR="00503983" w:rsidRPr="00804895">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{"citationItems":[{"id":"ITEM-1","itemData":{"author":[{"dropping-particle":"","family":"Pendapatan","given":"Pengaruh","non-dropping-particle":"","parse-names":false,"suffix":""},{"dropping-particle":"","family":"Informasi","given":"D A N","non-dropping-particle":"","parse-names":false,"suffix":""},{"dropping-particle":"","family":"Ilmiah","given":"Jurnal","non-dropping-particle":"","parse-names":false,"suffix":""}],"id":"ITEM-1","issued":{"date-parts":[["2015"]]},"title":"Pengaruh pendapatan, resiko, premi, dan informasi terhadap preferensi masyarakat golongan menengah ke atas pada produk asuransi","type":"article-journal"},"uris":["http://www.mendeley.com/documents/?uuid=755df267-3110-4b5f-9ef9-f74d1d8f224d","http://www.mendeley.com/documents/?uuid=a04a42cf-d178-45a6-bbf7-c8b07fa32024"]}],"mendeley":{"formattedCitation":"(Pendapatan et al., 2015)","plainTextFormattedCitation":"(Pendapatan et al., 2015)","previouslyFormattedCitation":"(Pendapatan et al., 2015)"},"properties":{"noteIndex":0},"schema":"https://github.com/citation-style-language/schema/raw/master/csl-citation.json"}</w:instrText>
      </w:r>
      <w:r w:rsidR="00503983" w:rsidRPr="00804895">
        <w:rPr>
          <w:rFonts w:ascii="Times New Roman" w:hAnsi="Times New Roman" w:cs="Times New Roman"/>
          <w:sz w:val="24"/>
          <w:szCs w:val="24"/>
        </w:rPr>
        <w:fldChar w:fldCharType="separate"/>
      </w:r>
      <w:r w:rsidRPr="00804895">
        <w:rPr>
          <w:rFonts w:ascii="Times New Roman" w:hAnsi="Times New Roman" w:cs="Times New Roman"/>
          <w:noProof/>
          <w:sz w:val="24"/>
          <w:szCs w:val="24"/>
        </w:rPr>
        <w:t>(Pendapatan et al., 2015)</w:t>
      </w:r>
      <w:r w:rsidR="00503983" w:rsidRPr="00804895">
        <w:rPr>
          <w:rFonts w:ascii="Times New Roman" w:hAnsi="Times New Roman" w:cs="Times New Roman"/>
          <w:sz w:val="24"/>
          <w:szCs w:val="24"/>
        </w:rPr>
        <w:fldChar w:fldCharType="end"/>
      </w:r>
      <w:r>
        <w:rPr>
          <w:rFonts w:ascii="Times New Roman" w:hAnsi="Times New Roman" w:cs="Times New Roman"/>
          <w:sz w:val="24"/>
          <w:szCs w:val="24"/>
        </w:rPr>
        <w:t>.</w:t>
      </w:r>
    </w:p>
    <w:p w:rsidR="001F498A" w:rsidRDefault="001F498A" w:rsidP="001F49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 xml:space="preserve">Asuransi membawa misi ekonomi dan sosial dengan adanya premi yang dibayarkan kepada perusahaan asuransi melalui jaminan adanya </w:t>
      </w:r>
      <w:r>
        <w:rPr>
          <w:rFonts w:ascii="Times New Roman" w:hAnsi="Times New Roman" w:cs="Times New Roman"/>
          <w:i/>
          <w:sz w:val="24"/>
          <w:szCs w:val="24"/>
        </w:rPr>
        <w:t xml:space="preserve">Transfer of Risk </w:t>
      </w:r>
      <w:r>
        <w:rPr>
          <w:rFonts w:ascii="Times New Roman" w:hAnsi="Times New Roman" w:cs="Times New Roman"/>
          <w:sz w:val="24"/>
          <w:szCs w:val="24"/>
        </w:rPr>
        <w:t xml:space="preserve"> yaitu pengalihan risiko dan pihak tertanggung kepada pidak penanggung, selain itu pembayaran premi tersebut merupakan pendapatan bagi perusahaan asuransi</w:t>
      </w:r>
      <w:r w:rsidRPr="008F48C7">
        <w:rPr>
          <w:rFonts w:ascii="Times New Roman" w:hAnsi="Times New Roman" w:cs="Times New Roman"/>
          <w:sz w:val="24"/>
          <w:szCs w:val="24"/>
        </w:rPr>
        <w:t xml:space="preserve"> </w:t>
      </w:r>
      <w:r w:rsidR="00503983" w:rsidRPr="008F48C7">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{"citationItems":[{"id":"ITEM-1","itemData":{"DOI":"10.47491/landjournal.v1i1.591","ISSN":"2715-9590","abstract":"Asuransi jiwa telah menjadi kebutuhan dalam kehidupan masyarakat modern saat ini. Di Indonesia permintaan asuransi jiwa terus bertumbuh sejalan dengan peningkatan pendapatan dan kepedulian masyarakat terhadap pentingnya antisipasi risiko. Asuransi adalah lembaga penghimpun dana yang bersumber dari penerimaan premi asuransi dari masyarakat dan menyalurkannya dengan klaim. Penelitian ini dilakukan untuk menguji pengaruh pendapatan premi dan hasil underwriting terhadap laba pada PT Asuransi Jiwasraya (Persero). Penelitian ini menggunakan metode kuantitatif. Populasi yang digunakan yaitu laporan keuangan PT Asuransi Jiwasraya dari sejak berdiri sampai dengan sekarang yang diperoleh dari website PT Asuransi Jiwasraya. Sampel diambil menggunakan metode purposive sampling dengan jumlah sampel sebanyak 8 tahun yaitu tahun 2008-2015. Adapun teknis analisis data yang digunakan yaitu uji normalitas, korelasi product moment, regresi linear sederhana, korelasi berganda, regresi linier berganda, koefisien determinasi, uji t dan uji F menggunakan software IBM SPSS 23.  Hasilnya menunjukan bahwa secara parsial untuk pendapatan premi terhadap laba dan hasil underwriting terhadap laba terdapat hubungan yang sangat kuat dan signifikan. Secara simultan (bersama-sama) yang menunjukan hasil bahwa pendapatan premi dan hasil underwriting terdapat hubungan yang sangat signifikan terhadap laba dan bernilai positif.","author":[{"dropping-particle":"","family":"Juwita","given":"Rukmi","non-dropping-particle":"","parse-names":false,"suffix":""},{"dropping-particle":"","family":"Rindiati","given":"Novia","non-dropping-particle":"","parse-names":false,"suffix":""}],"container-title":"Land Journal","id":"ITEM-1","issue":"1","issued":{"date-parts":[["2021"]]},"page":"21-31","title":"Pengaruh Pendapatan Premi Dan Hasil Underwriting Terhadap Laba Pada Pt Asuransi Jiwasraya (Persero) Periode 2008-2015","type":"article-journal","volume":"1"},"uris":["http://www.mendeley.com/documents/?uuid=70290bca-2ab4-4d83-8e69-a233e6b5f9df","http://www.mendeley.com/documents/?uuid=b13bf40b-5fd4-4f6f-86fb-805c54bbbd83"]}],"mendeley":{"formattedCitation":"(Juwita &amp; Rindiati, 2021)","plainTextFormattedCitation":"(Juwita &amp; Rindiati, 2021)","previouslyFormattedCitation":"(Juwita &amp; Rindiati, 2021)"},"properties":{"noteIndex":0},"schema":"https://github.com/citation-style-language/schema/raw/master/csl-citation.json"}</w:instrText>
      </w:r>
      <w:r w:rsidR="00503983" w:rsidRPr="008F48C7">
        <w:rPr>
          <w:rFonts w:ascii="Times New Roman" w:hAnsi="Times New Roman" w:cs="Times New Roman"/>
          <w:sz w:val="24"/>
          <w:szCs w:val="24"/>
        </w:rPr>
        <w:fldChar w:fldCharType="separate"/>
      </w:r>
      <w:r w:rsidRPr="008F48C7">
        <w:rPr>
          <w:rFonts w:ascii="Times New Roman" w:hAnsi="Times New Roman" w:cs="Times New Roman"/>
          <w:noProof/>
          <w:sz w:val="24"/>
          <w:szCs w:val="24"/>
        </w:rPr>
        <w:t>(Juwita &amp; Rindiati, 2021)</w:t>
      </w:r>
      <w:r w:rsidR="00503983" w:rsidRPr="008F48C7">
        <w:rPr>
          <w:rFonts w:ascii="Times New Roman" w:hAnsi="Times New Roman" w:cs="Times New Roman"/>
          <w:sz w:val="24"/>
          <w:szCs w:val="24"/>
        </w:rPr>
        <w:fldChar w:fldCharType="end"/>
      </w:r>
      <w:r>
        <w:rPr>
          <w:rFonts w:ascii="TimesNewRomanPSMT" w:hAnsi="TimesNewRomanPSMT" w:cs="TimesNewRomanPSMT"/>
          <w:sz w:val="24"/>
          <w:szCs w:val="24"/>
        </w:rPr>
        <w:t xml:space="preserve">. </w:t>
      </w:r>
      <w:r w:rsidRPr="008F48C7">
        <w:rPr>
          <w:rFonts w:ascii="Times New Roman" w:hAnsi="Times New Roman" w:cs="Times New Roman"/>
          <w:sz w:val="24"/>
          <w:szCs w:val="24"/>
        </w:rPr>
        <w:t xml:space="preserve">Premi sebagai kewajiban tertanggung atas keikutsertaannya di asuransi untuk pengganti jika terjadi kerugian. Biasanya jumlah premi ditetapkan oleh perusahaan dengan mempertimbangkan beberapa faktor . hasil </w:t>
      </w:r>
      <w:r w:rsidRPr="008F48C7">
        <w:rPr>
          <w:rFonts w:ascii="Times New Roman" w:hAnsi="Times New Roman" w:cs="Times New Roman"/>
          <w:i/>
          <w:sz w:val="24"/>
          <w:szCs w:val="24"/>
        </w:rPr>
        <w:t xml:space="preserve">underwriting </w:t>
      </w:r>
      <w:r w:rsidRPr="008F48C7">
        <w:rPr>
          <w:rFonts w:ascii="Times New Roman" w:hAnsi="Times New Roman" w:cs="Times New Roman"/>
          <w:sz w:val="24"/>
          <w:szCs w:val="24"/>
        </w:rPr>
        <w:t xml:space="preserve"> diperolah dari selisish pendapatan premi dan beban </w:t>
      </w:r>
      <w:r w:rsidRPr="008F48C7">
        <w:rPr>
          <w:rFonts w:ascii="Times New Roman" w:hAnsi="Times New Roman" w:cs="Times New Roman"/>
          <w:i/>
          <w:sz w:val="24"/>
          <w:szCs w:val="24"/>
        </w:rPr>
        <w:t xml:space="preserve">underwriting </w:t>
      </w:r>
      <w:r w:rsidRPr="008F48C7">
        <w:rPr>
          <w:rFonts w:ascii="Times New Roman" w:hAnsi="Times New Roman" w:cs="Times New Roman"/>
          <w:sz w:val="24"/>
          <w:szCs w:val="24"/>
        </w:rPr>
        <w:t xml:space="preserve">dan RBC di terapkan agar perusahaan memiliko kekuatan modal yang cukup untuk melindungi kepentingan masyarakat sebagai peserta asuransi </w:t>
      </w:r>
      <w:r w:rsidR="00503983" w:rsidRPr="008F48C7">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{"citationItems":[{"id":"ITEM-1","itemData":{"author":[{"dropping-particle":"","family":"Dimamu","given":"Jurnal","non-dropping-particle":"","parse-names":false,"suffix":""}],"id":"ITEM-1","issue":"2","issued":{"date-parts":[["2022"]]},"page":"215-219","title":"Pengaruh Premi , Hasil Underwriting dan RBC terhadap ROA pada Asuransi Syariah yang Terdaftar di OJK Periode 2016-2020","type":"article-journal","volume":"1"},"uris":["http://www.mendeley.com/documents/?uuid=faea6c3f-511e-42ba-a7de-98125ec96caf","http://www.mendeley.com/documents/?uuid=cfe1281a-fa23-4669-ae0e-73fa08e7cd05"]}],"mendeley":{"formattedCitation":"(Dimamu, 2022)","plainTextFormattedCitation":"(Dimamu, 2022)","previouslyFormattedCitation":"(Dimamu, 2022)"},"properties":{"noteIndex":0},"schema":"https://github.com/citation-style-language/schema/raw/master/csl-citation.json"}</w:instrText>
      </w:r>
      <w:r w:rsidR="00503983" w:rsidRPr="008F48C7">
        <w:rPr>
          <w:rFonts w:ascii="Times New Roman" w:hAnsi="Times New Roman" w:cs="Times New Roman"/>
          <w:sz w:val="24"/>
          <w:szCs w:val="24"/>
        </w:rPr>
        <w:fldChar w:fldCharType="separate"/>
      </w:r>
      <w:r w:rsidRPr="008F48C7">
        <w:rPr>
          <w:rFonts w:ascii="Times New Roman" w:hAnsi="Times New Roman" w:cs="Times New Roman"/>
          <w:noProof/>
          <w:sz w:val="24"/>
          <w:szCs w:val="24"/>
        </w:rPr>
        <w:t>(Dimamu, 2022)</w:t>
      </w:r>
      <w:r w:rsidR="00503983" w:rsidRPr="008F48C7">
        <w:rPr>
          <w:rFonts w:ascii="Times New Roman" w:hAnsi="Times New Roman" w:cs="Times New Roman"/>
          <w:sz w:val="24"/>
          <w:szCs w:val="24"/>
        </w:rPr>
        <w:fldChar w:fldCharType="end"/>
      </w:r>
      <w:r>
        <w:rPr>
          <w:rFonts w:ascii="Times New Roman" w:hAnsi="Times New Roman" w:cs="Times New Roman"/>
          <w:sz w:val="24"/>
          <w:szCs w:val="24"/>
        </w:rPr>
        <w:t>.</w:t>
      </w:r>
    </w:p>
    <w:p w:rsidR="001A0852" w:rsidRDefault="001A0852" w:rsidP="001A0852">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ajaran islam asuransi sebenarnya sudah di praktikkan di zaman Nabi Muhammad. Konsep dari asuransi islam adalah ‘ala-aqilah, menurut sebagian ulama Al-aqilah merupakan kebiasaan suku Arab jauh sebelum munculnya islam. Ketika seorang anggota suku lain, ahli waris korban menerima uang darah sebagai kompensasi dari kerabat terdekat si pembunuh. Alasan umat islam meragukan asuransi karena khawatir asuransi mengandung unsur gharar, maisir, riba dan niaga. Menanggapi permasalahan asuransi dalam segala bentuk yang berkembang saat ini. Polis asuransi di negara-negara Barat diciptakan memiliki sifat, bentuk karakter dan tujuan yang berbeda dari bentuk Mu’amalah yang dikenal di dunia islam dalam fikih.</w:t>
      </w:r>
    </w:p>
    <w:p w:rsidR="00E646A3" w:rsidRDefault="001A0852" w:rsidP="00E646A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abad 19, mazhab fikih Hanafi Ibnu Abidin membahas tentang asuransi dan dasar hukumnya. Ibnu Abidin adalah orang pertama yang menganggap asuransi sebagai lembaga formal daripada kebiasaan. Pendapat Ibnu Abidin ini sangat mencolok bagi umat islam yang tdiak menerima legalitas praktik asuransi. Kemudian mendorong umat islam lainnya untuk menerima gagasan melibatkan dalam bisnis asuransi. Pada abad ke 20 pakar hukum islam Muhammad Abduh mengeluarkan dua fatwa yang melegalkan bisnis asuransi. Dalam fatwanya Abduh menggunakan beberapa sumber untuk menjelaskan mengapa dia membolehkan asuransi jiwa. Salah satunya fatwanya memperlakukan antara penanggung dan tertanggung sebagai akab mudarabah, sedangkan fatwa lainnya menghalalka model transaksional y</w:t>
      </w:r>
      <w:r w:rsidR="00AE097D">
        <w:rPr>
          <w:rFonts w:ascii="Times New Roman" w:hAnsi="Times New Roman" w:cs="Times New Roman"/>
          <w:sz w:val="24"/>
          <w:szCs w:val="24"/>
          <w:lang w:val="en-US"/>
        </w:rPr>
        <w:t xml:space="preserve">ang serupa dengan asuransi jiwa </w:t>
      </w:r>
      <w:r w:rsidR="00AE097D">
        <w:rPr>
          <w:rFonts w:ascii="Times New Roman" w:hAnsi="Times New Roman" w:cs="Times New Roman"/>
          <w:sz w:val="24"/>
          <w:szCs w:val="24"/>
          <w:lang w:val="en-US"/>
        </w:rPr>
        <w:fldChar w:fldCharType="begin" w:fldLock="1"/>
      </w:r>
      <w:r w:rsidR="00832527">
        <w:rPr>
          <w:rFonts w:ascii="Times New Roman" w:hAnsi="Times New Roman" w:cs="Times New Roman"/>
          <w:sz w:val="24"/>
          <w:szCs w:val="24"/>
          <w:lang w:val="en-US"/>
        </w:rPr>
        <w:instrText>ADDIN CSL_CITATION {"citationItems":[{"id":"ITEM-1","itemData":{"author":[{"dropping-particle":"","family":"Hukum","given":"Fakultas","non-dropping-particle":"","parse-names":false,"suffix":""},{"dropping-particle":"","family":"Indonesia","given":"Universitas","non-dropping-particle":"","parse-names":false,"suffix":""},{"dropping-particle":"","family":"Depok","given":"Kampus","non-dropping-particle":"","parse-names":false,"suffix":""},{"dropping-particle":"","family":"Barat","given":"Jawa","non-dropping-particle":"","parse-names":false,"suffix":""}],"id":"ITEM-1","issue":"1","issued":{"date-parts":[["0"]]},"title":"Pendahuluan Menurut ajaran Islam , umat manusia yang ada di dunia ini merupakan manusia tidak bisa hidup sendiri tanpa bantuan pihak lain . Oleh karena itu ,","type":"article-journal","volume":"47"},"uris":["http://www.mendeley.com/documents/?uuid=046e430c-9df7-4f24-ad2d-73dca3ec7324"]}],"mendeley":{"formattedCitation":"(Hukum et al., n.d.)","plainTextFormattedCitation":"(Hukum et al., n.d.)","previouslyFormattedCitation":"(Hukum et al., n.d.)"},"properties":{"noteIndex":0},"schema":"https://github.com/citation-style-language/schema/raw/master/csl-citation.json"}</w:instrText>
      </w:r>
      <w:r w:rsidR="00AE097D">
        <w:rPr>
          <w:rFonts w:ascii="Times New Roman" w:hAnsi="Times New Roman" w:cs="Times New Roman"/>
          <w:sz w:val="24"/>
          <w:szCs w:val="24"/>
          <w:lang w:val="en-US"/>
        </w:rPr>
        <w:fldChar w:fldCharType="separate"/>
      </w:r>
      <w:r w:rsidR="00AE097D" w:rsidRPr="00AE097D">
        <w:rPr>
          <w:rFonts w:ascii="Times New Roman" w:hAnsi="Times New Roman" w:cs="Times New Roman"/>
          <w:noProof/>
          <w:sz w:val="24"/>
          <w:szCs w:val="24"/>
          <w:lang w:val="en-US"/>
        </w:rPr>
        <w:t>(Hukum et al., n.d.)</w:t>
      </w:r>
      <w:r w:rsidR="00AE097D">
        <w:rPr>
          <w:rFonts w:ascii="Times New Roman" w:hAnsi="Times New Roman" w:cs="Times New Roman"/>
          <w:sz w:val="24"/>
          <w:szCs w:val="24"/>
          <w:lang w:val="en-US"/>
        </w:rPr>
        <w:fldChar w:fldCharType="end"/>
      </w:r>
      <w:r w:rsidR="00AE097D">
        <w:rPr>
          <w:rFonts w:ascii="Times New Roman" w:hAnsi="Times New Roman" w:cs="Times New Roman"/>
          <w:sz w:val="24"/>
          <w:szCs w:val="24"/>
          <w:lang w:val="en-US"/>
        </w:rPr>
        <w:t xml:space="preserve">. </w:t>
      </w:r>
    </w:p>
    <w:p w:rsidR="00B26C73" w:rsidRPr="00E646A3" w:rsidRDefault="000232F4" w:rsidP="00E646A3">
      <w:pPr>
        <w:autoSpaceDE w:val="0"/>
        <w:autoSpaceDN w:val="0"/>
        <w:adjustRightInd w:val="0"/>
        <w:jc w:val="both"/>
        <w:rPr>
          <w:rFonts w:ascii="Times New Roman" w:hAnsi="Times New Roman" w:cs="Times New Roman"/>
          <w:sz w:val="24"/>
          <w:szCs w:val="24"/>
          <w:lang w:val="en-US"/>
        </w:rPr>
      </w:pPr>
      <w:r>
        <w:rPr>
          <w:rFonts w:asciiTheme="majorBidi" w:hAnsiTheme="majorBidi" w:cstheme="majorBidi"/>
          <w:b/>
          <w:bCs/>
          <w:sz w:val="24"/>
          <w:szCs w:val="24"/>
        </w:rPr>
        <w:t>2. TINJAUAN PUSTAKA</w:t>
      </w:r>
    </w:p>
    <w:p w:rsidR="00B26C73" w:rsidRDefault="001F498A" w:rsidP="00B26C73">
      <w:pPr>
        <w:autoSpaceDE w:val="0"/>
        <w:autoSpaceDN w:val="0"/>
        <w:adjustRightInd w:val="0"/>
        <w:jc w:val="both"/>
        <w:rPr>
          <w:rFonts w:ascii="Times New Roman" w:hAnsi="Times New Roman" w:cs="Times New Roman"/>
          <w:sz w:val="24"/>
          <w:szCs w:val="24"/>
        </w:rPr>
      </w:pPr>
      <w:r>
        <w:rPr>
          <w:rFonts w:asciiTheme="majorBidi" w:hAnsiTheme="majorBidi" w:cstheme="majorBidi"/>
          <w:b/>
          <w:bCs/>
          <w:sz w:val="24"/>
          <w:szCs w:val="24"/>
        </w:rPr>
        <w:t>Asuransi</w:t>
      </w:r>
    </w:p>
    <w:p w:rsidR="001F498A" w:rsidRDefault="001F498A" w:rsidP="00B26C73">
      <w:pPr>
        <w:autoSpaceDE w:val="0"/>
        <w:autoSpaceDN w:val="0"/>
        <w:adjustRightInd w:val="0"/>
        <w:spacing w:line="240" w:lineRule="auto"/>
        <w:rPr>
          <w:rFonts w:asciiTheme="majorBidi" w:hAnsiTheme="majorBidi" w:cstheme="majorBidi"/>
          <w:bCs/>
          <w:sz w:val="24"/>
          <w:szCs w:val="24"/>
        </w:rPr>
      </w:pPr>
      <w:r w:rsidRPr="00C6139B">
        <w:rPr>
          <w:rFonts w:asciiTheme="majorBidi" w:hAnsiTheme="majorBidi" w:cstheme="majorBidi"/>
          <w:bCs/>
          <w:sz w:val="24"/>
          <w:szCs w:val="24"/>
        </w:rPr>
        <w:t>Asuransi adalah lembaga keuangan yang</w:t>
      </w:r>
      <w:r>
        <w:rPr>
          <w:rFonts w:asciiTheme="majorBidi" w:hAnsiTheme="majorBidi" w:cstheme="majorBidi"/>
          <w:bCs/>
          <w:sz w:val="24"/>
          <w:szCs w:val="24"/>
        </w:rPr>
        <w:t xml:space="preserve"> tujuannya untuk mengurangi resiko dengan menggabungkan beberapa objek pengelolaan yang jumlahnya cujup besar, sehingga </w:t>
      </w:r>
      <w:r>
        <w:rPr>
          <w:rFonts w:asciiTheme="majorBidi" w:hAnsiTheme="majorBidi" w:cstheme="majorBidi"/>
          <w:bCs/>
          <w:sz w:val="24"/>
          <w:szCs w:val="24"/>
        </w:rPr>
        <w:lastRenderedPageBreak/>
        <w:t xml:space="preserve">kemungkinan terjadinya risiko kerusakan secara keseluruhan dapat di ramalkan dalam batas-batas tertentu </w:t>
      </w:r>
      <w:r w:rsidR="00503983">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Manajemen","given":"Prodi","non-dropping-particle":"","parse-names":false,"suffix":""},{"dropping-particle":"","family":"Ekonomi","given":"Fakultas","non-dropping-particle":"","parse-names":false,"suffix":""},{"dropping-particle":"","family":"Pamulang","given":"Universitas","non-dropping-particle":"","parse-names":false,"suffix":""}],"id":"ITEM-1","issue":"3","issued":{"date-parts":[["2018"]]},"page":"88-106","title":"No Title","type":"article-journal","volume":"1"},"uris":["http://www.mendeley.com/documents/?uuid=294f1f14-a58f-4653-91ce-ba295caec66a","http://www.mendeley.com/documents/?uuid=4c5f2f80-b8f3-4f47-bc5b-023a8fd72e67"]}],"mendeley":{"formattedCitation":"(Manajemen et al., 2018)","plainTextFormattedCitation":"(Manajemen et al., 2018)","previouslyFormattedCitation":"(Manajemen et al., 2018)"},"properties":{"noteIndex":0},"schema":"https://github.com/citation-style-language/schema/raw/master/csl-citation.json"}</w:instrText>
      </w:r>
      <w:r w:rsidR="00503983">
        <w:rPr>
          <w:rFonts w:ascii="Times New Roman" w:hAnsi="Times New Roman" w:cs="Times New Roman"/>
          <w:b/>
          <w:sz w:val="24"/>
          <w:szCs w:val="24"/>
        </w:rPr>
        <w:fldChar w:fldCharType="separate"/>
      </w:r>
      <w:r w:rsidRPr="00DB1727">
        <w:rPr>
          <w:rFonts w:ascii="Times New Roman" w:hAnsi="Times New Roman" w:cs="Times New Roman"/>
          <w:noProof/>
          <w:sz w:val="24"/>
          <w:szCs w:val="24"/>
        </w:rPr>
        <w:t>(Manajemen et al., 2018)</w:t>
      </w:r>
      <w:r w:rsidR="00503983">
        <w:rPr>
          <w:rFonts w:ascii="Times New Roman" w:hAnsi="Times New Roman" w:cs="Times New Roman"/>
          <w:b/>
          <w:sz w:val="24"/>
          <w:szCs w:val="24"/>
        </w:rPr>
        <w:fldChar w:fldCharType="end"/>
      </w:r>
      <w:r>
        <w:rPr>
          <w:rFonts w:asciiTheme="majorBidi" w:hAnsiTheme="majorBidi" w:cstheme="majorBidi"/>
          <w:bCs/>
          <w:sz w:val="24"/>
          <w:szCs w:val="24"/>
        </w:rPr>
        <w:t xml:space="preserve">. Istilah asuransi yang digunakan untuk merujuk pada tindakan skema atau bisnis dimana perlindungan finansial atau kompensasi finansial yang disediakan untuk kehidupan,properti,kesehatan dll. Terhadap kejadian yang tidak terduga seperti kematian, kehilangan, cedera atau sakit yang memerlukan pembayaran premi secara otomatis terperiodik selama jangka waktu tertentu </w:t>
      </w:r>
      <w:r w:rsidR="00503983">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{"citationItems":[{"id":"ITEM-1","itemData":{"author":[{"dropping-particle":"","family":"Rahajeng","given":"Riyan Pinasti","non-dropping-particle":"","parse-names":false,"suffix":""}],"id":"ITEM-1","issued":{"date-parts":[["2010"]]},"title":"PENILAIAN KINERJA KEUANGAN PERUSAHAAN ASURANSI UMUM","type":"article-journal"},"uris":["http://www.mendeley.com/documents/?uuid=662792d3-dd44-405f-9eea-9e7767d1acd0","http://www.mendeley.com/documents/?uuid=3bd4019a-ce7a-4256-b949-a2858ee83854"]}],"mendeley":{"formattedCitation":"(Rahajeng, 2010)","plainTextFormattedCitation":"(Rahajeng, 2010)","previouslyFormattedCitation":"(Rahajeng, 2010)"},"properties":{"noteIndex":0},"schema":"https://github.com/citation-style-language/schema/raw/master/csl-citation.json"}</w:instrText>
      </w:r>
      <w:r w:rsidR="00503983">
        <w:rPr>
          <w:rFonts w:ascii="Times New Roman" w:hAnsi="Times New Roman" w:cs="Times New Roman"/>
          <w:b/>
          <w:sz w:val="24"/>
          <w:szCs w:val="24"/>
        </w:rPr>
        <w:fldChar w:fldCharType="separate"/>
      </w:r>
      <w:r w:rsidRPr="00DB1727">
        <w:rPr>
          <w:rFonts w:ascii="Times New Roman" w:hAnsi="Times New Roman" w:cs="Times New Roman"/>
          <w:noProof/>
          <w:sz w:val="24"/>
          <w:szCs w:val="24"/>
        </w:rPr>
        <w:t>(Rahajeng, 2010)</w:t>
      </w:r>
      <w:r w:rsidR="00503983">
        <w:rPr>
          <w:rFonts w:ascii="Times New Roman" w:hAnsi="Times New Roman" w:cs="Times New Roman"/>
          <w:b/>
          <w:sz w:val="24"/>
          <w:szCs w:val="24"/>
        </w:rPr>
        <w:fldChar w:fldCharType="end"/>
      </w:r>
      <w:r>
        <w:rPr>
          <w:rFonts w:asciiTheme="majorBidi" w:hAnsiTheme="majorBidi" w:cstheme="majorBidi"/>
          <w:bCs/>
          <w:sz w:val="24"/>
          <w:szCs w:val="24"/>
        </w:rPr>
        <w:t>.</w:t>
      </w:r>
    </w:p>
    <w:p w:rsidR="00F57F04" w:rsidRPr="00F57F04" w:rsidRDefault="00F57F04" w:rsidP="00B26C73">
      <w:pPr>
        <w:autoSpaceDE w:val="0"/>
        <w:autoSpaceDN w:val="0"/>
        <w:adjustRightInd w:val="0"/>
        <w:spacing w:line="240" w:lineRule="auto"/>
        <w:rPr>
          <w:rFonts w:ascii="Times New Roman" w:hAnsi="Times New Roman" w:cs="Times New Roman"/>
          <w:sz w:val="24"/>
          <w:szCs w:val="24"/>
          <w:lang w:val="en-US"/>
        </w:rPr>
      </w:pPr>
      <w:r>
        <w:rPr>
          <w:rFonts w:asciiTheme="majorBidi" w:hAnsiTheme="majorBidi" w:cstheme="majorBidi"/>
          <w:bCs/>
          <w:sz w:val="24"/>
          <w:szCs w:val="24"/>
          <w:lang w:val="en-US"/>
        </w:rPr>
        <w:t>Asuransi disebut dalam bahasa Arab At’ta’min yang berasal dari kata amanah yang berarti asuransi dalam pandangan Islam</w:t>
      </w:r>
      <w:r w:rsidR="009747B6">
        <w:rPr>
          <w:rFonts w:asciiTheme="majorBidi" w:hAnsiTheme="majorBidi" w:cstheme="majorBidi"/>
          <w:bCs/>
          <w:sz w:val="24"/>
          <w:szCs w:val="24"/>
          <w:lang w:val="en-US"/>
        </w:rPr>
        <w:t xml:space="preserve"> berarti perlindungan, kedamaian, rasa aman dan bebas dari rasa takut. Ada dua bentuk asuransi yang telah disepakati para ulama dan tidak bertentangan dengan islam yaitu asuransi berbentuk koperasi (at-Ta’min al- ljyima’iyyah) dan asuransi sosial (at-ta’min at –</w:t>
      </w:r>
      <w:r w:rsidR="00832527">
        <w:rPr>
          <w:rFonts w:asciiTheme="majorBidi" w:hAnsiTheme="majorBidi" w:cstheme="majorBidi"/>
          <w:bCs/>
          <w:sz w:val="24"/>
          <w:szCs w:val="24"/>
          <w:lang w:val="en-US"/>
        </w:rPr>
        <w:t xml:space="preserve"> Ta’awuniyyah) </w:t>
      </w:r>
      <w:r w:rsidR="00832527">
        <w:rPr>
          <w:rFonts w:asciiTheme="majorBidi" w:hAnsiTheme="majorBidi" w:cstheme="majorBidi"/>
          <w:bCs/>
          <w:sz w:val="24"/>
          <w:szCs w:val="24"/>
          <w:lang w:val="en-US"/>
        </w:rPr>
        <w:fldChar w:fldCharType="begin" w:fldLock="1"/>
      </w:r>
      <w:r w:rsidR="00AA0F0C">
        <w:rPr>
          <w:rFonts w:asciiTheme="majorBidi" w:hAnsiTheme="majorBidi" w:cstheme="majorBidi"/>
          <w:bCs/>
          <w:sz w:val="24"/>
          <w:szCs w:val="24"/>
          <w:lang w:val="en-US"/>
        </w:rPr>
        <w:instrText>ADDIN CSL_CITATION {"citationItems":[{"id":"ITEM-1","itemData":{"author":[{"dropping-particle":"","family":"Purnamasari","given":"S","non-dropping-particle":"","parse-names":false,"suffix":""}],"id":"ITEM-1","issued":{"date-parts":[["1981"]]},"page":"23-29","title":"ASURANSI DALAM PERSPEKTIF ISLAM S. Purnamasari Dosen Tetap Yayasan Jurusan Ekonomi Syariah Fakultas Studi Islam UNISKA","type":"article-journal"},"uris":["http://www.mendeley.com/documents/?uuid=34f589f3-512b-48b3-bea6-059dd8afc33a"]}],"mendeley":{"formattedCitation":"(Purnamasari, 1981)","plainTextFormattedCitation":"(Purnamasari, 1981)","previouslyFormattedCitation":"(Purnamasari, 1981)"},"properties":{"noteIndex":0},"schema":"https://github.com/citation-style-language/schema/raw/master/csl-citation.json"}</w:instrText>
      </w:r>
      <w:r w:rsidR="00832527">
        <w:rPr>
          <w:rFonts w:asciiTheme="majorBidi" w:hAnsiTheme="majorBidi" w:cstheme="majorBidi"/>
          <w:bCs/>
          <w:sz w:val="24"/>
          <w:szCs w:val="24"/>
          <w:lang w:val="en-US"/>
        </w:rPr>
        <w:fldChar w:fldCharType="separate"/>
      </w:r>
      <w:r w:rsidR="00832527" w:rsidRPr="00832527">
        <w:rPr>
          <w:rFonts w:asciiTheme="majorBidi" w:hAnsiTheme="majorBidi" w:cstheme="majorBidi"/>
          <w:bCs/>
          <w:noProof/>
          <w:sz w:val="24"/>
          <w:szCs w:val="24"/>
          <w:lang w:val="en-US"/>
        </w:rPr>
        <w:t>(Purnamasari, 1981)</w:t>
      </w:r>
      <w:r w:rsidR="00832527">
        <w:rPr>
          <w:rFonts w:asciiTheme="majorBidi" w:hAnsiTheme="majorBidi" w:cstheme="majorBidi"/>
          <w:bCs/>
          <w:sz w:val="24"/>
          <w:szCs w:val="24"/>
          <w:lang w:val="en-US"/>
        </w:rPr>
        <w:fldChar w:fldCharType="end"/>
      </w:r>
      <w:r w:rsidR="00832527">
        <w:rPr>
          <w:rFonts w:asciiTheme="majorBidi" w:hAnsiTheme="majorBidi" w:cstheme="majorBidi"/>
          <w:bCs/>
          <w:sz w:val="24"/>
          <w:szCs w:val="24"/>
          <w:lang w:val="en-US"/>
        </w:rPr>
        <w:t>.</w:t>
      </w:r>
    </w:p>
    <w:p w:rsidR="001F498A" w:rsidRPr="00385007" w:rsidRDefault="001F498A" w:rsidP="001F498A">
      <w:pPr>
        <w:spacing w:after="0" w:line="240" w:lineRule="auto"/>
        <w:jc w:val="both"/>
        <w:rPr>
          <w:rFonts w:ascii="Times New Roman" w:hAnsi="Times New Roman" w:cs="Times New Roman"/>
          <w:bCs/>
          <w:sz w:val="24"/>
          <w:szCs w:val="24"/>
        </w:rPr>
      </w:pPr>
      <w:r>
        <w:rPr>
          <w:rFonts w:asciiTheme="majorBidi" w:hAnsiTheme="majorBidi" w:cstheme="majorBidi"/>
          <w:bCs/>
          <w:sz w:val="24"/>
          <w:szCs w:val="24"/>
        </w:rPr>
        <w:tab/>
      </w:r>
      <w:r w:rsidRPr="00385007">
        <w:rPr>
          <w:rFonts w:ascii="Times New Roman" w:hAnsi="Times New Roman" w:cs="Times New Roman"/>
          <w:bCs/>
          <w:sz w:val="24"/>
          <w:szCs w:val="24"/>
        </w:rPr>
        <w:t xml:space="preserve">Undang-undang Nomor 40 Republik Indonesia Tahun 2014 tentang Asuransi, asuransi adalah perjanjian antara dua pihak yaitu perusahaan asuransi dan tertanggung yang menjadi dasar bagi perusahaan asuransi untuk menerima premi asuransi sebagai imbalan pembayaran ganti rugi kepada tertanggung atas setiap kerugian, kerusakan, biaya   atau keuntungan yang diperoleh atau tanggung jawab kepada pihak ketiga, termasuk diasuransikan atau pemilik polis dalam hal terjadi peristiwa yang tidak pasti </w:t>
      </w:r>
      <w:r w:rsidRPr="00385007">
        <w:rPr>
          <w:rFonts w:ascii="Times New Roman" w:hAnsi="Times New Roman" w:cs="Times New Roman"/>
          <w:sz w:val="24"/>
          <w:szCs w:val="24"/>
        </w:rPr>
        <w:t>.</w:t>
      </w:r>
      <w:r w:rsidR="00503983" w:rsidRPr="00385007">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{"citationItems":[{"id":"ITEM-1","itemData":{"author":[{"dropping-particle":"","family":"Agustiranda","given":"Wanda","non-dropping-particle":"","parse-names":false,"suffix":""},{"dropping-particle":"","family":"Bakar","given":"Samadi W","non-dropping-particle":"","parse-names":false,"suffix":""}],"id":"ITEM-1","issued":{"date-parts":[["2014"]]},"page":"1-12","title":"Pengaruh pendapatan premi, pembayaran klaim, dan","type":"article-journal"},"uris":["http://www.mendeley.com/documents/?uuid=0cf1d690-962d-4728-94ef-fee7a002989d","http://www.mendeley.com/documents/?uuid=3947784c-aa46-4ff2-8328-5da057505646"]}],"mendeley":{"formattedCitation":"(Agustiranda &amp; Bakar, 2014)","plainTextFormattedCitation":"(Agustiranda &amp; Bakar, 2014)","previouslyFormattedCitation":"(Agustiranda &amp; Bakar, 2014)"},"properties":{"noteIndex":0},"schema":"https://github.com/citation-style-language/schema/raw/master/csl-citation.json"}</w:instrText>
      </w:r>
      <w:r w:rsidR="00503983" w:rsidRPr="00385007">
        <w:rPr>
          <w:rFonts w:ascii="Times New Roman" w:hAnsi="Times New Roman" w:cs="Times New Roman"/>
          <w:sz w:val="24"/>
          <w:szCs w:val="24"/>
        </w:rPr>
        <w:fldChar w:fldCharType="separate"/>
      </w:r>
      <w:r w:rsidRPr="00385007">
        <w:rPr>
          <w:rFonts w:ascii="Times New Roman" w:hAnsi="Times New Roman" w:cs="Times New Roman"/>
          <w:noProof/>
          <w:sz w:val="24"/>
          <w:szCs w:val="24"/>
        </w:rPr>
        <w:t>(Agustiranda &amp; Bakar, 2014)</w:t>
      </w:r>
      <w:r w:rsidR="00503983" w:rsidRPr="00385007">
        <w:rPr>
          <w:rFonts w:ascii="Times New Roman" w:hAnsi="Times New Roman" w:cs="Times New Roman"/>
          <w:sz w:val="24"/>
          <w:szCs w:val="24"/>
        </w:rPr>
        <w:fldChar w:fldCharType="end"/>
      </w:r>
      <w:r w:rsidRPr="00385007">
        <w:rPr>
          <w:rFonts w:ascii="Times New Roman" w:hAnsi="Times New Roman" w:cs="Times New Roman"/>
          <w:sz w:val="24"/>
          <w:szCs w:val="24"/>
        </w:rPr>
        <w:t>.</w:t>
      </w:r>
    </w:p>
    <w:p w:rsidR="001F498A" w:rsidRDefault="001F498A" w:rsidP="001F498A">
      <w:pPr>
        <w:tabs>
          <w:tab w:val="left" w:pos="2610"/>
        </w:tabs>
        <w:spacing w:after="0" w:line="240" w:lineRule="auto"/>
        <w:jc w:val="both"/>
        <w:rPr>
          <w:rFonts w:asciiTheme="majorBidi" w:hAnsiTheme="majorBidi" w:cstheme="majorBidi"/>
          <w:b/>
          <w:bCs/>
          <w:sz w:val="24"/>
          <w:szCs w:val="24"/>
        </w:rPr>
      </w:pPr>
      <w:r w:rsidRPr="00385007">
        <w:rPr>
          <w:rFonts w:asciiTheme="majorBidi" w:hAnsiTheme="majorBidi" w:cstheme="majorBidi"/>
          <w:b/>
          <w:bCs/>
          <w:sz w:val="24"/>
          <w:szCs w:val="24"/>
        </w:rPr>
        <w:t>Pendapatan Premi</w:t>
      </w:r>
      <w:r>
        <w:rPr>
          <w:rFonts w:asciiTheme="majorBidi" w:hAnsiTheme="majorBidi" w:cstheme="majorBidi"/>
          <w:b/>
          <w:bCs/>
          <w:sz w:val="24"/>
          <w:szCs w:val="24"/>
        </w:rPr>
        <w:tab/>
      </w:r>
    </w:p>
    <w:p w:rsidR="001F498A" w:rsidRPr="00385007" w:rsidRDefault="001F498A" w:rsidP="001F498A">
      <w:pPr>
        <w:tabs>
          <w:tab w:val="left" w:pos="709"/>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Premi asuransi adalah uang yang dibayarkan peserta (tertanggung) kepada perusahaan asuransi (penanggung) sebagai kompensasi jika terjadi kerugian atau kerusakan, termasuk kehilangan keuntungan yang diharapkan, akibat pembentukan kontrak untuk pengalihan risiko kepada peserta penganggung. Semua premi asuransi yang akan datang adalah dana klien yang dipotong dari biaya perusahaan untuk layanan pengelolaan dana. Manfaat premi peserta adalah untuk menentukan besarnya simpanan atau dana klaim peserta apabila terjadi bencana yang menimbulkan kerugian, termasuk untuk menambah investasi di masa depan. </w:t>
      </w:r>
      <w:r w:rsidR="00503983" w:rsidRPr="00CA7F4D">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Dwi","given":"Novia","non-dropping-particle":"","parse-names":false,"suffix":""},{"dropping-particle":"","family":"Panjaitan","given":"Fatmawati","non-dropping-particle":"","parse-names":false,"suffix":""},{"dropping-particle":"","family":"Syariah","given":"Ekonomi","non-dropping-particle":"","parse-names":false,"suffix":""},{"dropping-particle":"","family":"Devy","given":"Happy Sista","non-dropping-particle":"","parse-names":false,"suffix":""},{"dropping-particle":"","family":"Syariah","given":"Ekonomi","non-dropping-particle":"","parse-names":false,"suffix":""}],"id":"ITEM-1","issue":"1","issued":{"date-parts":[["2021"]]},"page":"35-43","title":"Pengaruh Pendapatan Premi , Klaim , Invetasi dan Biaya Operasional terhadap Pertumbuhan Aset Perusahaan Asuransi Jiwa Syariah di Indonesia","type":"article-journal","volume":"1"},"uris":["http://www.mendeley.com/documents/?uuid=81d82e6b-03e7-444c-a1e5-737b9bd011dd","http://www.mendeley.com/documents/?uuid=8990de5b-bc8b-4401-ac63-b31acbd85b52"]}],"mendeley":{"formattedCitation":"(Dwi et al., 2021)","plainTextFormattedCitation":"(Dwi et al., 2021)","previouslyFormattedCitation":"(Dwi et al., 2021)"},"properties":{"noteIndex":0},"schema":"https://github.com/citation-style-language/schema/raw/master/csl-citation.json"}</w:instrText>
      </w:r>
      <w:r w:rsidR="00503983" w:rsidRPr="00CA7F4D">
        <w:rPr>
          <w:rFonts w:ascii="Times New Roman" w:hAnsi="Times New Roman" w:cs="Times New Roman"/>
          <w:b/>
          <w:sz w:val="24"/>
          <w:szCs w:val="24"/>
        </w:rPr>
        <w:fldChar w:fldCharType="separate"/>
      </w:r>
      <w:r w:rsidRPr="00CA7F4D">
        <w:rPr>
          <w:rFonts w:ascii="Times New Roman" w:hAnsi="Times New Roman" w:cs="Times New Roman"/>
          <w:noProof/>
          <w:sz w:val="24"/>
          <w:szCs w:val="24"/>
        </w:rPr>
        <w:t>(Dwi et al., 2021)</w:t>
      </w:r>
      <w:r w:rsidR="00503983" w:rsidRPr="00CA7F4D">
        <w:rPr>
          <w:rFonts w:ascii="Times New Roman" w:hAnsi="Times New Roman" w:cs="Times New Roman"/>
          <w:b/>
          <w:sz w:val="24"/>
          <w:szCs w:val="24"/>
        </w:rPr>
        <w:fldChar w:fldCharType="end"/>
      </w:r>
      <w:r>
        <w:rPr>
          <w:rFonts w:asciiTheme="majorBidi" w:hAnsiTheme="majorBidi" w:cstheme="majorBidi"/>
          <w:bCs/>
          <w:sz w:val="24"/>
          <w:szCs w:val="24"/>
        </w:rPr>
        <w:t>.</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bCs/>
          <w:sz w:val="24"/>
          <w:szCs w:val="24"/>
        </w:rPr>
        <w:t>Harga dalam asuransi disebut premi,yaitu sejumlah uang yang harus dibayarkan oleh penanggung kepada pemegang polis. Premi asuransi adalah harga jaminan risiko yang dibayar oleh penanggung untuk risiko tertentu, di tempat tertentu dan untuk jangka waktu tertentu. Besarnya premi asuransi yang harus di bayar oleh tertanggung dihitung dari bunga atau premi asuransi dikalikan dengan uang pertanggungan atas obyek yang dipertanggungkan. Pendapatan premi yaitu sejumlah uang yang dibayarkan oleh penanggung sebagai imbalan atas jasa yang diberikan oleh penanggung sesuai dengan kontrak yang telah disepakati sebelumnya. Premi adalah harga jaminan risiko yang dibayarkanoleh penanggung atas risiko tertentu di tempat tertentu dan waktu tertentu.</w:t>
      </w:r>
    </w:p>
    <w:p w:rsidR="001F498A" w:rsidRDefault="001F498A" w:rsidP="001F498A">
      <w:pPr>
        <w:spacing w:after="0" w:line="240" w:lineRule="auto"/>
        <w:jc w:val="both"/>
        <w:rPr>
          <w:rFonts w:asciiTheme="majorBidi" w:hAnsiTheme="majorBidi" w:cstheme="majorBidi"/>
          <w:b/>
          <w:bCs/>
          <w:i/>
          <w:sz w:val="24"/>
          <w:szCs w:val="24"/>
        </w:rPr>
      </w:pPr>
      <w:r>
        <w:rPr>
          <w:rFonts w:asciiTheme="majorBidi" w:hAnsiTheme="majorBidi" w:cstheme="majorBidi"/>
          <w:b/>
          <w:bCs/>
          <w:sz w:val="24"/>
          <w:szCs w:val="24"/>
        </w:rPr>
        <w:t xml:space="preserve">Hasil </w:t>
      </w:r>
      <w:r>
        <w:rPr>
          <w:rFonts w:asciiTheme="majorBidi" w:hAnsiTheme="majorBidi" w:cstheme="majorBidi"/>
          <w:b/>
          <w:bCs/>
          <w:i/>
          <w:sz w:val="24"/>
          <w:szCs w:val="24"/>
        </w:rPr>
        <w:t>Underwriting</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Underwriting adalah proses prediktif untuk aset yang berpotensi diasuransikan atau dilindungi yang digunakan untuk menentukan apakah calon tertanggung memenuhi syarat untuk mendapatkan perlindungan dan jika mungkin menyesuaikan kelompok risiko yang sesuai untuk tertanggung. Underwriting adalah proses mediasi dan pengelompokkan risiko yang akan ditanggung dan proses mediasi dan pengelompokkan yang akan ditanggung dan ddi proses dimana manajer asuransi memeriksa dan memutuskan apakah akan menerima sebagian dari kompensasi yang di bayarkan oleh pemohon dan menetapkan kondisi  yang ditetapkan. Tugas tersebut merupakan bagian integral dari operasi perusahaan asuransi tanpa asuransi yang efektif perusahaan asuransi tidak dapat bersaing </w:t>
      </w:r>
      <w:r w:rsidR="00503983">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{"citationItems":[{"id":"ITEM-1","itemData":{"abstract":"Penelitian ini bertujuan untuk mengetahui pengaruh premi, investasi, klaim, dan underwriting terhadap profitabilitas perusahaan asuransi jiwa syariah di Indonesia tahun 2014-2018. Kebijakan cukai hasil tembakau yang diberlakukan oleh pemerintah memiliki pengaruh terhadap perusahaan rokok. Penelitian ini merupakan penelitian kuantitatif dengan sumber data yang diperoleh dari tiap Laporan Keuangan Perusahaan Asuransi Jiwa Syariah di Indonesia. Sampel diambil dengan menggunakan metode purposive sampling dengan jumlah sebanyak 7 perusahaan asuransi jiwa syariah.. Analisis data yang digunakan dalam penelitian ini adalah regresi data panel dengan satu kali tahapan regresi. Penelitian ini menyatakan model yang digunakan ada fixed effect model yang diolah menggunakan Eviews9. Hasil penelitian ini menunjukkan bahwa variabel premi berpengaruh positif signifikan, variabel investasi berpengaruh positif signifikan, variabel klaim berpengaruh negative signifikan, dan variabel underwriting berpengaruh negative signifikan terhadap profitabilitas perusahaan Asuransi Jiwa Syariah di Indonesia tahun 2014-2018.","author":[{"dropping-particle":"","family":"Dzaki","given":"Naufal Ahmad","non-dropping-particle":"","parse-names":false,"suffix":""}],"id":"ITEM-1","issued":{"date-parts":[["2018"]]},"title":"Terhadap Profitabilitas Perusahaan Asuransi Jiwa Syariah Di Indonesia Tahun 2014-2018","type":"article-journal"},"uris":["http://www.mendeley.com/documents/?uuid=15bf6bb7-ae13-41ae-a340-721baaca1550","http://www.mendeley.com/documents/?uuid=399ccd10-be74-4559-b2aa-15228852c91e"]}],"mendeley":{"formattedCitation":"(Dzaki, 2018)","plainTextFormattedCitation":"(Dzaki, 2018)","previouslyFormattedCitation":"(Dzaki, 2018)"},"properties":{"noteIndex":0},"schema":"https://github.com/citation-style-language/schema/raw/master/csl-citation.json"}</w:instrText>
      </w:r>
      <w:r w:rsidR="00503983">
        <w:rPr>
          <w:rFonts w:ascii="Times New Roman" w:hAnsi="Times New Roman" w:cs="Times New Roman"/>
          <w:b/>
          <w:sz w:val="24"/>
          <w:szCs w:val="24"/>
        </w:rPr>
        <w:fldChar w:fldCharType="separate"/>
      </w:r>
      <w:r w:rsidRPr="00726DAE">
        <w:rPr>
          <w:rFonts w:ascii="Times New Roman" w:hAnsi="Times New Roman" w:cs="Times New Roman"/>
          <w:noProof/>
          <w:sz w:val="24"/>
          <w:szCs w:val="24"/>
        </w:rPr>
        <w:t>(Dzaki, 2018)</w:t>
      </w:r>
      <w:r w:rsidR="00503983">
        <w:rPr>
          <w:rFonts w:ascii="Times New Roman" w:hAnsi="Times New Roman" w:cs="Times New Roman"/>
          <w:b/>
          <w:sz w:val="24"/>
          <w:szCs w:val="24"/>
        </w:rPr>
        <w:fldChar w:fldCharType="end"/>
      </w:r>
      <w:r>
        <w:rPr>
          <w:rFonts w:asciiTheme="majorBidi" w:hAnsiTheme="majorBidi" w:cstheme="majorBidi"/>
          <w:bCs/>
          <w:sz w:val="24"/>
          <w:szCs w:val="24"/>
        </w:rPr>
        <w:t>.</w:t>
      </w:r>
    </w:p>
    <w:p w:rsidR="001F498A" w:rsidRPr="007F240D"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Underwriting dilakukan dengan tujuan untuk meningkatkan keuntungan dari perolehan bunga berisiko yang dapat dievaluasi agar dapat memaksimalkan pengembalian.hasil usaha asuransi dapat dihitung dengan mengambil selsiish antara asuransi </w:t>
      </w:r>
      <w:r>
        <w:rPr>
          <w:rFonts w:asciiTheme="majorBidi" w:hAnsiTheme="majorBidi" w:cstheme="majorBidi"/>
          <w:bCs/>
          <w:sz w:val="24"/>
          <w:szCs w:val="24"/>
        </w:rPr>
        <w:lastRenderedPageBreak/>
        <w:t xml:space="preserve">dan beban asuransi yang dapat dilihat pada bagian laporan surplus underwriting </w:t>
      </w:r>
      <w:r w:rsidR="00503983">
        <w:fldChar w:fldCharType="begin" w:fldLock="1"/>
      </w:r>
      <w:r w:rsidR="00AE097D">
        <w:instrText>ADDIN CSL_CITATION {"citationItems":[{"id":"ITEM-1","itemData":{"author":[{"dropping-particle":"","family":"Kadek","given":"Ni","non-dropping-particle":"","parse-names":false,"suffix":""},{"dropping-particle":"","family":"Triana","given":"Ria","non-dropping-particle":"","parse-names":false,"suffix":""},{"dropping-particle":"","family":"Ayu","given":"Gusti","non-dropping-particle":"","parse-names":false,"suffix":""},{"dropping-particle":"","family":"Rencana","given":"Ketut","non-dropping-particle":"","parse-names":false,"suffix":""},{"dropping-particle":"","family":"Dewi","given":"Sari","non-dropping-particle":"","parse-names":false,"suffix":""}],"id":"ITEM-1","issue":"3","issued":{"date-parts":[["2020"]]},"page":"374-380","title":"Pengaruh Pendapatan Premi , Hasil Investasi , Pertumbuhan Modal dan Hasil Underwriting terhadap Pertumbuhan Aset Perusahaan Asuransi","type":"article-journal","volume":"10"},"uris":["http://www.mendeley.com/documents/?uuid=db7cb2c1-24e8-4fe6-90e5-add567429cab","http://www.mendeley.com/documents/?uuid=c296d434-b253-4f4c-9fb7-bb9f3da062f7"]}],"mendeley":{"formattedCitation":"(Kadek et al., 2020)","plainTextFormattedCitation":"(Kadek et al., 2020)","previouslyFormattedCitation":"(Kadek et al., 2020)"},"properties":{"noteIndex":0},"schema":"https://github.com/citation-style-language/schema/raw/master/csl-citation.json"}</w:instrText>
      </w:r>
      <w:r w:rsidR="00503983">
        <w:fldChar w:fldCharType="separate"/>
      </w:r>
      <w:r w:rsidRPr="004377DC">
        <w:rPr>
          <w:noProof/>
        </w:rPr>
        <w:t>(Kadek et al., 2020)</w:t>
      </w:r>
      <w:r w:rsidR="00503983">
        <w:fldChar w:fldCharType="end"/>
      </w:r>
      <w:r>
        <w:rPr>
          <w:rFonts w:asciiTheme="majorBidi" w:hAnsiTheme="majorBidi" w:cstheme="majorBidi"/>
          <w:bCs/>
          <w:sz w:val="24"/>
          <w:szCs w:val="24"/>
        </w:rPr>
        <w:t>.</w:t>
      </w:r>
    </w:p>
    <w:p w:rsidR="001F498A" w:rsidRDefault="001F498A" w:rsidP="001F498A">
      <w:pPr>
        <w:spacing w:after="0" w:line="240" w:lineRule="auto"/>
        <w:jc w:val="both"/>
        <w:rPr>
          <w:rFonts w:asciiTheme="majorBidi" w:hAnsiTheme="majorBidi" w:cstheme="majorBidi"/>
          <w:b/>
          <w:bCs/>
          <w:sz w:val="24"/>
          <w:szCs w:val="24"/>
        </w:rPr>
      </w:pPr>
      <w:r>
        <w:rPr>
          <w:rFonts w:asciiTheme="majorBidi" w:hAnsiTheme="majorBidi" w:cstheme="majorBidi"/>
          <w:b/>
          <w:bCs/>
          <w:i/>
          <w:sz w:val="24"/>
          <w:szCs w:val="24"/>
        </w:rPr>
        <w:t xml:space="preserve">Risk Based Capital </w:t>
      </w:r>
      <w:r>
        <w:rPr>
          <w:rFonts w:asciiTheme="majorBidi" w:hAnsiTheme="majorBidi" w:cstheme="majorBidi"/>
          <w:b/>
          <w:bCs/>
          <w:sz w:val="24"/>
          <w:szCs w:val="24"/>
        </w:rPr>
        <w:t>(RBC)</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i/>
          <w:sz w:val="24"/>
          <w:szCs w:val="24"/>
        </w:rPr>
        <w:tab/>
        <w:t xml:space="preserve">Risk Based Capital </w:t>
      </w:r>
      <w:r>
        <w:rPr>
          <w:rFonts w:asciiTheme="majorBidi" w:hAnsiTheme="majorBidi" w:cstheme="majorBidi"/>
          <w:bCs/>
          <w:sz w:val="24"/>
          <w:szCs w:val="24"/>
        </w:rPr>
        <w:t xml:space="preserve">ini adalah parameter terpenting untuk menilai situasi keuangan perusahaan berdasarkan hubungan antara solvabilitas dan risiko. Risiko RBC yang tinggi mencerminkan posisi keuangan perusahaan asuransi yang baik untuk meningkatkan pendapatan perusahaan asuransi </w:t>
      </w:r>
      <w:r w:rsidR="00503983" w:rsidRPr="00140557">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{"citationItems":[{"id":"ITEM-1","itemData":{"author":[{"dropping-particle":"","family":"Nasution","given":"Nurul Hidayati","non-dropping-particle":"","parse-names":false,"suffix":""},{"dropping-particle":"","family":"Nanda","given":"Satria Tri","non-dropping-particle":"","parse-names":false,"suffix":""}],"id":"ITEM-1","issue":"1","issued":{"date-parts":[["2020"]]},"page":"41-55","title":"PENGARUH PENDAPATAN PREMI , HASIL UNDERWRITING ,","type":"article-journal","volume":"17"},"uris":["http://www.mendeley.com/documents/?uuid=3a32b66a-093d-4fa1-85f2-b4c06193baeb","http://www.mendeley.com/documents/?uuid=7d8b5ca5-3c15-4fd8-a9d0-54dffe65197d"]}],"mendeley":{"formattedCitation":"(Nasution &amp; Nanda, 2020)","plainTextFormattedCitation":"(Nasution &amp; Nanda, 2020)","previouslyFormattedCitation":"(Nasution &amp; Nanda, 2020)"},"properties":{"noteIndex":0},"schema":"https://github.com/citation-style-language/schema/raw/master/csl-citation.json"}</w:instrText>
      </w:r>
      <w:r w:rsidR="00503983" w:rsidRPr="00140557">
        <w:rPr>
          <w:rFonts w:ascii="Times New Roman" w:hAnsi="Times New Roman" w:cs="Times New Roman"/>
          <w:b/>
          <w:sz w:val="24"/>
          <w:szCs w:val="24"/>
        </w:rPr>
        <w:fldChar w:fldCharType="separate"/>
      </w:r>
      <w:r w:rsidRPr="00140557">
        <w:rPr>
          <w:rFonts w:ascii="Times New Roman" w:hAnsi="Times New Roman" w:cs="Times New Roman"/>
          <w:noProof/>
          <w:sz w:val="24"/>
          <w:szCs w:val="24"/>
        </w:rPr>
        <w:t>(Nasution &amp; Nanda, 2020)</w:t>
      </w:r>
      <w:r w:rsidR="00503983" w:rsidRPr="00140557">
        <w:rPr>
          <w:rFonts w:ascii="Times New Roman" w:hAnsi="Times New Roman" w:cs="Times New Roman"/>
          <w:b/>
          <w:sz w:val="24"/>
          <w:szCs w:val="24"/>
        </w:rPr>
        <w:fldChar w:fldCharType="end"/>
      </w:r>
      <w:r w:rsidRPr="00140557">
        <w:rPr>
          <w:rFonts w:ascii="Times New Roman" w:hAnsi="Times New Roman" w:cs="Times New Roman"/>
          <w:b/>
          <w:sz w:val="24"/>
          <w:szCs w:val="24"/>
        </w:rPr>
        <w:t>.</w:t>
      </w:r>
      <w:r>
        <w:rPr>
          <w:rFonts w:asciiTheme="majorBidi" w:hAnsiTheme="majorBidi" w:cstheme="majorBidi"/>
          <w:bCs/>
          <w:sz w:val="24"/>
          <w:szCs w:val="24"/>
        </w:rPr>
        <w:t xml:space="preserve"> Modal berbasisi risiko dapat menunjukkan kriteria apakah suatu perusahaan sehat dan aman atau tidak. Terkadang, ukuran modal berbasis risiko standar sering digunakan sebagai alat promosi untuk membuat lebih banyak orang membeli polis mereka. Tertanggung dan pemutusan kontrak selama masa kontrak atau diketahui lain dengan penebusan. Dalam hal ini entitas mengakui klaim tersebut sebagai pengurang pendapatan asuransi ketika pengawasan telah menerima bukti sah atas kompensasi yang di hasilkan </w:t>
      </w:r>
      <w:r w:rsidR="00503983" w:rsidRPr="00140557">
        <w:rPr>
          <w:rFonts w:ascii="Times New Roman" w:hAnsi="Times New Roman" w:cs="Times New Roman"/>
          <w:sz w:val="24"/>
          <w:szCs w:val="24"/>
        </w:rPr>
        <w:fldChar w:fldCharType="begin" w:fldLock="1"/>
      </w:r>
      <w:r w:rsidR="00AE097D">
        <w:rPr>
          <w:rFonts w:ascii="Times New Roman" w:hAnsi="Times New Roman" w:cs="Times New Roman"/>
          <w:sz w:val="24"/>
          <w:szCs w:val="24"/>
        </w:rPr>
        <w:instrText>ADDIN CSL_CITATION {"citationItems":[{"id":"ITEM-1","itemData":{"author":[{"dropping-particle":"","family":"Manajemen","given":"Prodi","non-dropping-particle":"","parse-names":false,"suffix":""},{"dropping-particle":"","family":"Ekonomi","given":"Fakultas","non-dropping-particle":"","parse-names":false,"suffix":""},{"dropping-particle":"","family":"Pamulang","given":"Universitas","non-dropping-particle":"","parse-names":false,"suffix":""}],"id":"ITEM-1","issue":"3","issued":{"date-parts":[["2018"]]},"page":"88-106","title":"No Title","type":"article-journal","volume":"1"},"uris":["http://www.mendeley.com/documents/?uuid=4c5f2f80-b8f3-4f47-bc5b-023a8fd72e67","http://www.mendeley.com/documents/?uuid=294f1f14-a58f-4653-91ce-ba295caec66a"]}],"mendeley":{"formattedCitation":"(Manajemen et al., 2018)","plainTextFormattedCitation":"(Manajemen et al., 2018)","previouslyFormattedCitation":"(Manajemen et al., 2018)"},"properties":{"noteIndex":0},"schema":"https://github.com/citation-style-language/schema/raw/master/csl-citation.json"}</w:instrText>
      </w:r>
      <w:r w:rsidR="00503983" w:rsidRPr="00140557">
        <w:rPr>
          <w:rFonts w:ascii="Times New Roman" w:hAnsi="Times New Roman" w:cs="Times New Roman"/>
          <w:sz w:val="24"/>
          <w:szCs w:val="24"/>
        </w:rPr>
        <w:fldChar w:fldCharType="separate"/>
      </w:r>
      <w:r w:rsidRPr="00140557">
        <w:rPr>
          <w:rFonts w:ascii="Times New Roman" w:hAnsi="Times New Roman" w:cs="Times New Roman"/>
          <w:noProof/>
          <w:sz w:val="24"/>
          <w:szCs w:val="24"/>
        </w:rPr>
        <w:t>(Manajemen et al., 2018)</w:t>
      </w:r>
      <w:r w:rsidR="00503983" w:rsidRPr="00140557">
        <w:rPr>
          <w:rFonts w:ascii="Times New Roman" w:hAnsi="Times New Roman" w:cs="Times New Roman"/>
          <w:sz w:val="24"/>
          <w:szCs w:val="24"/>
        </w:rPr>
        <w:fldChar w:fldCharType="end"/>
      </w:r>
      <w:r>
        <w:rPr>
          <w:rFonts w:ascii="Times New Roman" w:hAnsi="Times New Roman" w:cs="Times New Roman"/>
          <w:sz w:val="24"/>
          <w:szCs w:val="24"/>
        </w:rPr>
        <w:t>.</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Nilai modal berbasisi risiko yang diterima perusahaan tidak bisa di artikan hanya berdasarkan besar kecilnya angka. Padahal nilai risk based capital risiko yang rendah menunjukkan kinerja perusahaan asuransi yang buruk. Nilai modal berbasis risiko yang sangat tinggi pun tidak serta merta berarti perusahaan tersebut adalah yang terbaik.pada kenyataannya nilai modal berbasis risiko sebagian besar perusahaan asuransi jauh lebih tinggi dari peraturan saat ini yang hanya 120% </w:t>
      </w:r>
      <w:r>
        <w:rPr>
          <w:rFonts w:ascii="Times New Roman" w:hAnsi="Times New Roman" w:cs="Times New Roman"/>
          <w:b/>
          <w:sz w:val="24"/>
          <w:szCs w:val="24"/>
        </w:rPr>
        <w:t xml:space="preserve"> </w:t>
      </w:r>
      <w:r w:rsidR="00503983">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Alamsyah","given":"Richard","non-dropping-particle":"","parse-names":false,"suffix":""},{"dropping-particle":"","family":"Wiratno","given":"Adi","non-dropping-particle":"","parse-names":false,"suffix":""},{"dropping-particle":"","family":"Classsification","given":"J E L","non-dropping-particle":"","parse-names":false,"suffix":""}],"id":"ITEM-1","issue":"1","issued":{"date-parts":[["2017"]]},"page":"87-101","title":"Pendapatan Premi , Rasio Hasil Investasi , Laba , Klaim dan Risk Based Capital Perusahaan Asuransi Kerugian di Indonesia","type":"article-journal"},"uris":["http://www.mendeley.com/documents/?uuid=66112103-a384-4dfc-b404-ab924e4629b7","http://www.mendeley.com/documents/?uuid=f5ba08b0-1a5e-488c-9a77-984f9e1aacfe"]}],"mendeley":{"formattedCitation":"(Alamsyah et al., 2017)","plainTextFormattedCitation":"(Alamsyah et al., 2017)","previouslyFormattedCitation":"(Alamsyah et al., 2017)"},"properties":{"noteIndex":0},"schema":"https://github.com/citation-style-language/schema/raw/master/csl-citation.json"}</w:instrText>
      </w:r>
      <w:r w:rsidR="00503983">
        <w:rPr>
          <w:rFonts w:ascii="Times New Roman" w:hAnsi="Times New Roman" w:cs="Times New Roman"/>
          <w:b/>
          <w:sz w:val="24"/>
          <w:szCs w:val="24"/>
        </w:rPr>
        <w:fldChar w:fldCharType="separate"/>
      </w:r>
      <w:r w:rsidRPr="00DF5AD0">
        <w:rPr>
          <w:rFonts w:ascii="Times New Roman" w:hAnsi="Times New Roman" w:cs="Times New Roman"/>
          <w:noProof/>
          <w:sz w:val="24"/>
          <w:szCs w:val="24"/>
        </w:rPr>
        <w:t>(Alamsyah et al., 2017)</w:t>
      </w:r>
      <w:r w:rsidR="00503983">
        <w:rPr>
          <w:rFonts w:ascii="Times New Roman" w:hAnsi="Times New Roman" w:cs="Times New Roman"/>
          <w:b/>
          <w:sz w:val="24"/>
          <w:szCs w:val="24"/>
        </w:rPr>
        <w:fldChar w:fldCharType="end"/>
      </w:r>
      <w:r>
        <w:rPr>
          <w:rFonts w:ascii="Times New Roman" w:hAnsi="Times New Roman" w:cs="Times New Roman"/>
          <w:b/>
          <w:sz w:val="24"/>
          <w:szCs w:val="24"/>
        </w:rPr>
        <w:t>.</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Pemerintah RI SK. Peraturan Menteri Keuangan nomor 481/KMK.071/1999 menetapkan standar tingkatan solvabilitas perusahaan asuransi yang didasarkan pada perhitungan modal berbasis risiko  (RBC) atau rasio risiko yang dibawa ke modal sebesar 120% modal minimum perusahaan asuransi tersebut adalah 120% x risiko seluruh portofolio perdangan misalnya risiko prtofolio aset, risko kursus dan risiko operasional. Dalam hal ini modal tidak dilaporkan sebagai ekuitas pada neraca perusahaan, karena tidak semua aset dimasukkan dalam perhitungan RBC mengakui tanggung jawab 100% memang dengan keterbatasan ini dimana – mana tentu saja perusahaan asuransi secara otomatis menyesuaikan bisnisnya kepada pemberian modal </w:t>
      </w:r>
      <w:r>
        <w:rPr>
          <w:rFonts w:ascii="Times New Roman" w:hAnsi="Times New Roman" w:cs="Times New Roman"/>
          <w:b/>
          <w:sz w:val="24"/>
          <w:szCs w:val="24"/>
        </w:rPr>
        <w:t xml:space="preserve"> </w:t>
      </w:r>
      <w:r w:rsidR="00503983">
        <w:rPr>
          <w:rFonts w:ascii="Times New Roman" w:hAnsi="Times New Roman" w:cs="Times New Roman"/>
          <w:b/>
          <w:sz w:val="24"/>
          <w:szCs w:val="24"/>
        </w:rPr>
        <w:fldChar w:fldCharType="begin" w:fldLock="1"/>
      </w:r>
      <w:r w:rsidR="00AE097D">
        <w:rPr>
          <w:rFonts w:ascii="Times New Roman" w:hAnsi="Times New Roman" w:cs="Times New Roman"/>
          <w:b/>
          <w:sz w:val="24"/>
          <w:szCs w:val="24"/>
        </w:rPr>
        <w:instrText>ADDIN CSL_CITATION {"citationItems":[{"id":"ITEM-1","itemData":{"author":[{"dropping-particle":"","family":"Modal","given":"Pengaruh Pertumbuhan","non-dropping-particle":"","parse-names":false,"suffix":""},{"dropping-particle":"","family":"Terhadap","given":"Aset","non-dropping-particle":"","parse-names":false,"suffix":""},{"dropping-particle":"","family":"Risk","given":"Rasio","non-dropping-particle":"","parse-names":false,"suffix":""},{"dropping-particle":"","family":"Capital","given":"Based","non-dropping-particle":"","parse-names":false,"suffix":""},{"dropping-particle":"","family":"Neto","given":"Pertumbuhan Premi","non-dropping-particle":"","parse-names":false,"suffix":""},{"dropping-particle":"","family":"Asuransi","given":"Profitabilitas Perusahaan","non-dropping-particle":"","parse-names":false,"suffix":""},{"dropping-particle":"","family":"Agus","given":"Susi Surya","non-dropping-particle":"","parse-names":false,"suffix":""}],"id":"ITEM-1","issued":{"date-parts":[["0"]]},"page":"391-405","title":"Pengaruh Pertumbuhan Modal dan Aset Terhadap Rasio Risk Based Capital (RBC), Pertumbuhan Premi Neto dan Profitabilitas Perusahaan Asuransi (Kirmizi &amp; Susi Surya Agus)","type":"article-journal"},"uris":["http://www.mendeley.com/documents/?uuid=7c11ef63-a405-4a48-b1dd-7defa3787921","http://www.mendeley.com/documents/?uuid=c6b61cce-d0a2-4830-a81e-1685ea1c24e3"]}],"mendeley":{"formattedCitation":"(Modal et al., n.d.)","plainTextFormattedCitation":"(Modal et al., n.d.)","previouslyFormattedCitation":"(Modal et al., n.d.)"},"properties":{"noteIndex":0},"schema":"https://github.com/citation-style-language/schema/raw/master/csl-citation.json"}</w:instrText>
      </w:r>
      <w:r w:rsidR="00503983">
        <w:rPr>
          <w:rFonts w:ascii="Times New Roman" w:hAnsi="Times New Roman" w:cs="Times New Roman"/>
          <w:b/>
          <w:sz w:val="24"/>
          <w:szCs w:val="24"/>
        </w:rPr>
        <w:fldChar w:fldCharType="separate"/>
      </w:r>
      <w:r w:rsidRPr="00DF5AD0">
        <w:rPr>
          <w:rFonts w:ascii="Times New Roman" w:hAnsi="Times New Roman" w:cs="Times New Roman"/>
          <w:noProof/>
          <w:sz w:val="24"/>
          <w:szCs w:val="24"/>
        </w:rPr>
        <w:t>(Modal et al., n.d.)</w:t>
      </w:r>
      <w:r w:rsidR="00503983">
        <w:rPr>
          <w:rFonts w:ascii="Times New Roman" w:hAnsi="Times New Roman" w:cs="Times New Roman"/>
          <w:b/>
          <w:sz w:val="24"/>
          <w:szCs w:val="24"/>
        </w:rPr>
        <w:fldChar w:fldCharType="end"/>
      </w:r>
      <w:r>
        <w:rPr>
          <w:rFonts w:asciiTheme="majorBidi" w:hAnsiTheme="majorBidi" w:cstheme="majorBidi"/>
          <w:bCs/>
          <w:sz w:val="24"/>
          <w:szCs w:val="24"/>
        </w:rPr>
        <w:t>.</w:t>
      </w:r>
    </w:p>
    <w:p w:rsidR="001F498A" w:rsidRDefault="001F498A" w:rsidP="001F498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Rasio Kecukupan Investasi (RKI)</w:t>
      </w:r>
    </w:p>
    <w:p w:rsidR="001F498A" w:rsidRDefault="001F498A" w:rsidP="001F49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Rasio kecukupan investasi adalah rasio pendapatan perusahaan yang digunakan untuk mengukur kecukupan modal perusahaan untuk mendukung aset yang mengandung atau menimbulkan risiko seperti pinjamanan yang diberikan nasabah. Semakin rendah tingkat investasi maka semakin lemah kemampuan perusahaan untuk membayar hutangnya karena perusahaan tidak memiliki modal.</w:t>
      </w:r>
    </w:p>
    <w:p w:rsidR="00AA18E6" w:rsidRDefault="00AA18E6" w:rsidP="001F498A">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w:t>
      </w:r>
      <w:r w:rsidR="00E646A3">
        <w:rPr>
          <w:rFonts w:asciiTheme="majorBidi" w:hAnsiTheme="majorBidi" w:cstheme="majorBidi"/>
          <w:b/>
          <w:bCs/>
          <w:sz w:val="24"/>
          <w:szCs w:val="24"/>
          <w:lang w:val="en-US"/>
        </w:rPr>
        <w:t>suransi dalam Pandangan Ekonomi Islam</w:t>
      </w:r>
    </w:p>
    <w:p w:rsidR="00F57F04" w:rsidRDefault="00F57F04" w:rsidP="00E646A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.Wahbah Az-Zuhaili (ahli fiqh dan ushul fiqh kontemporer) mendefinisikan asuransi dari segi distribusinya. Menurutnya ada dua bentuk asuransi yaitu at-ta’min at-ta’awuni ( asuransi tambahan) dan ata’min biqisthi tsabit (asuransi distribusi tetap). At-ta’min at-ta’awuni (auransi bantuan ) adalah perjanjian antara beberapa orag untuk membayar sejumlah uang sebagai kompensasi jika</w:t>
      </w:r>
      <w:r w:rsidR="00AE097D">
        <w:rPr>
          <w:rFonts w:ascii="Times New Roman" w:hAnsi="Times New Roman" w:cs="Times New Roman"/>
          <w:sz w:val="24"/>
          <w:szCs w:val="24"/>
          <w:lang w:val="en-US"/>
        </w:rPr>
        <w:t xml:space="preserve"> salah satu dari mereka terluka </w:t>
      </w:r>
      <w:r w:rsidR="00AE097D">
        <w:rPr>
          <w:rFonts w:ascii="Times New Roman" w:hAnsi="Times New Roman" w:cs="Times New Roman"/>
          <w:sz w:val="24"/>
          <w:szCs w:val="24"/>
          <w:lang w:val="en-US"/>
        </w:rPr>
        <w:fldChar w:fldCharType="begin" w:fldLock="1"/>
      </w:r>
      <w:r w:rsidR="00AE097D">
        <w:rPr>
          <w:rFonts w:ascii="Times New Roman" w:hAnsi="Times New Roman" w:cs="Times New Roman"/>
          <w:sz w:val="24"/>
          <w:szCs w:val="24"/>
          <w:lang w:val="en-US"/>
        </w:rPr>
        <w:instrText>ADDIN CSL_CITATION {"citationItems":[{"id":"ITEM-1","itemData":{"author":[{"dropping-particle":"","family":"Dalam","given":"Asuransi","non-dropping-particle":"","parse-names":false,"suffix":""},{"dropping-particle":"","family":"Islam","given":"Perspektif","non-dropping-particle":"","parse-names":false,"suffix":""}],"id":"ITEM-1","issued":{"date-parts":[["2019"]]},"title":"SYAR’IE , Vol. 1 - Januari 2019","type":"article-journal","volume":"1"},"uris":["http://www.mendeley.com/documents/?uuid=fedbf113-1b27-49d0-871a-cb9d70d36300"]}],"mendeley":{"formattedCitation":"(Dalam &amp; Islam, 2019)","plainTextFormattedCitation":"(Dalam &amp; Islam, 2019)","previouslyFormattedCitation":"(Dalam &amp; Islam, 2019)"},"properties":{"noteIndex":0},"schema":"https://github.com/citation-style-language/schema/raw/master/csl-citation.json"}</w:instrText>
      </w:r>
      <w:r w:rsidR="00AE097D">
        <w:rPr>
          <w:rFonts w:ascii="Times New Roman" w:hAnsi="Times New Roman" w:cs="Times New Roman"/>
          <w:sz w:val="24"/>
          <w:szCs w:val="24"/>
          <w:lang w:val="en-US"/>
        </w:rPr>
        <w:fldChar w:fldCharType="separate"/>
      </w:r>
      <w:r w:rsidR="00AE097D" w:rsidRPr="00AE097D">
        <w:rPr>
          <w:rFonts w:ascii="Times New Roman" w:hAnsi="Times New Roman" w:cs="Times New Roman"/>
          <w:noProof/>
          <w:sz w:val="24"/>
          <w:szCs w:val="24"/>
          <w:lang w:val="en-US"/>
        </w:rPr>
        <w:t>(Dalam &amp; Islam, 2019)</w:t>
      </w:r>
      <w:r w:rsidR="00AE097D">
        <w:rPr>
          <w:rFonts w:ascii="Times New Roman" w:hAnsi="Times New Roman" w:cs="Times New Roman"/>
          <w:sz w:val="24"/>
          <w:szCs w:val="24"/>
          <w:lang w:val="en-US"/>
        </w:rPr>
        <w:fldChar w:fldCharType="end"/>
      </w:r>
      <w:r w:rsidR="00AE097D">
        <w:rPr>
          <w:rFonts w:ascii="Times New Roman" w:hAnsi="Times New Roman" w:cs="Times New Roman"/>
          <w:sz w:val="24"/>
          <w:szCs w:val="24"/>
          <w:lang w:val="en-US"/>
        </w:rPr>
        <w:t>.</w:t>
      </w:r>
    </w:p>
    <w:p w:rsidR="00AE097D" w:rsidRDefault="00AE097D" w:rsidP="00E646A3">
      <w:pPr>
        <w:autoSpaceDE w:val="0"/>
        <w:autoSpaceDN w:val="0"/>
        <w:adjustRightInd w:val="0"/>
        <w:ind w:firstLine="720"/>
        <w:jc w:val="both"/>
        <w:rPr>
          <w:rFonts w:ascii="Times New Roman" w:hAnsi="Times New Roman" w:cs="Times New Roman"/>
          <w:sz w:val="24"/>
          <w:szCs w:val="24"/>
          <w:lang w:val="en-US"/>
        </w:rPr>
      </w:pPr>
    </w:p>
    <w:p w:rsidR="00E646A3" w:rsidRDefault="00E646A3" w:rsidP="00E646A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Dikalangan umat Islam, asuransi dianggap tidak Islami. politisi adalah orang yang sama menyangkal anugerah Allah. Allah menetapkan segala sesuatu dan memberikan rezeki bagi makhluk-Nya sesuai dengan firman Allah yang artinya :</w:t>
      </w:r>
    </w:p>
    <w:p w:rsidR="00E646A3" w:rsidRDefault="00E646A3" w:rsidP="00641FE3">
      <w:pPr>
        <w:autoSpaceDE w:val="0"/>
        <w:autoSpaceDN w:val="0"/>
        <w:adjustRightInd w:val="0"/>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Dan tidak ada suatu binatang melata pun dibumi melainkan Allah-lah yang memberikan rezekinya. “ (Q. S. Hud: 6)” Dan siapa (pula) yang memberikan rezeki kepadamu dari langit dan bumi. Apakah di samping Allah ada Tuhan (yang lain) . “Q. S. An- </w:t>
      </w:r>
      <w:r>
        <w:rPr>
          <w:rFonts w:ascii="Times New Roman" w:hAnsi="Times New Roman" w:cs="Times New Roman"/>
          <w:i/>
          <w:sz w:val="24"/>
          <w:szCs w:val="24"/>
          <w:lang w:val="en-US"/>
        </w:rPr>
        <w:lastRenderedPageBreak/>
        <w:t>Naml: 64) “ Dan kami telah menjadikan untukmu dibumi keperluan-keperluan hidup, dan kami menciptakanpula makhluk- makhluk yang kamu sekali-kali bukan pemberi rezeki kepadanya. “ (Q. S. Al-Hijr: 20).</w:t>
      </w:r>
    </w:p>
    <w:p w:rsidR="00641FE3" w:rsidRDefault="00641FE3" w:rsidP="00641FE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ketiga ayat tersebut dapat di pahami bahwa allah sebenarnya telah mempersiapkan segala kebutuhan makhluk-nya, ermasuk orang-orang seperti khalifah di muka bumi. Tuhan membuat bahan mentah, bukan bahan yang di masak, orang masih harus mengolahnya, mencarinya dan memperjuangkannya .</w:t>
      </w:r>
    </w:p>
    <w:p w:rsidR="00641FE3" w:rsidRDefault="00641FE3" w:rsidP="00641FE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Masalah asuransi, menurut ajaran Islam menyangkut masalah ijtihadiyah, yang artinya hukumannya harus ditelaah sedetail mungkin, karena tidak di jelaskan secara khusus dalam Al-Qur’an . sunnah Imam mujtahid seperti Abu Hanifah, Imam Malik, Imam Syafi;I, Imam Ahmad bin Hanbal dan para mutahid yang bersama-sama dengannya pada tahun tidak mengeluarkan fatwa tentang asuransi karena pada saat itu asuransi belum dikenal. Sistem asuransinya adalah baru dikenal di dunia timur pada abad XIX M. dunia barat telah mengenal sistem asuransi ini sejak abad ke-1 sedangkan tahun para ulama besar Mujtah</w:t>
      </w:r>
      <w:r w:rsidR="00AA0F0C">
        <w:rPr>
          <w:rFonts w:ascii="Times New Roman" w:hAnsi="Times New Roman" w:cs="Times New Roman"/>
          <w:sz w:val="24"/>
          <w:szCs w:val="24"/>
          <w:lang w:val="en-US"/>
        </w:rPr>
        <w:t xml:space="preserve">id hidup sekitar abad ke-2 IX M </w:t>
      </w:r>
      <w:r w:rsidR="00AA0F0C">
        <w:rPr>
          <w:rFonts w:ascii="Times New Roman" w:hAnsi="Times New Roman" w:cs="Times New Roman"/>
          <w:sz w:val="24"/>
          <w:szCs w:val="24"/>
          <w:lang w:val="en-US"/>
        </w:rPr>
        <w:fldChar w:fldCharType="begin" w:fldLock="1"/>
      </w:r>
      <w:r w:rsidR="00AA0F0C">
        <w:rPr>
          <w:rFonts w:ascii="Times New Roman" w:hAnsi="Times New Roman" w:cs="Times New Roman"/>
          <w:sz w:val="24"/>
          <w:szCs w:val="24"/>
          <w:lang w:val="en-US"/>
        </w:rPr>
        <w:instrText>ADDIN CSL_CITATION {"citationItems":[{"id":"ITEM-1","itemData":{"ISSN":"2528-5610","abstract":"Sharia Insurance according to a binding ruling in religious matters (fatwa) of the National Shari'ah Board of the Indonesian Ulama Council no: 21 /DSN-MUI/ X / 2001 is a mutual effort to help among a number of people/parties through investment in assets or tabarru' which provides a pattern of return to face certain risks through engagement in accordance with the sharia. PRUlink sharia is an insurance product associated with sharia-based investment. PRUlink Syariah is designed to meet the society's need for future financial designs in accordance with Islamic principles of sharia. There are two types of product of PRUlink Syariah insurance, namely PRUlink Syariah Investor Account and PRUlink Syariah Assurance Account. Kind of Product in PRUlink Syariah is contract between policy holders using contract of tabarru which is called hibah and the owner of the policy/participant premises sharia insurance company using contract of tijarah called wakalah bin ujrah. In sharia insurance there is a surplus sharing that will be distributed to customers calculated at the end of the calendar year. This can be obtained if there are more funds than tabarru' accounts that have been reduced by claims and debt to the company if any. How is PRUlinksyariah managed in Prudential? The result of the research shows that PRUsyariah premium management in Prudential is separated by two accounts, namely tabarru' account and investment account. The own fund is managed by Eastpring Investment, that is manager company from Asia prudential, while allocation of fund is invested in stocks and obligation which is in accordance with sharia principles contained in the Jakarta Stock Exchange. For the choice of investment in PRUsariah, there are three options of investment, namely Sharia-Rupiah Equity Fund, Sharia-Rupiah Managed Fund or Sharia-Rupiah fixed Income fund, in accordance with the choice of the next participant. From the investment result the participant agrees to pay tabarru’ contribution directly input into tabarru' account. Tabarru’  funds are fully owned by participants and used to pay claims participants claim at any time, but if there is tabaaru’ funds excess with claims total in one year as of 31 December paid, then tabarru’ surplus or that is called surplus will be distributed participants that meet the requirements to get the surplus.","author":[{"dropping-particle":"","family":"Agustianto","given":"Mochammad Andre","non-dropping-particle":"","parse-names":false,"suffix":""}],"container-title":"AL-IQTISHOD: Jurnal Pemikiran dan Penelitian Ekonomi Islam ","id":"ITEM-1","issue":"1","issued":{"date-parts":[["2021"]]},"page":"91-101","title":"AsuransidalamPandanganEkonomiIslam","type":"article-journal","volume":"9"},"uris":["http://www.mendeley.com/documents/?uuid=d7aaefe3-7735-4ee8-8458-76978a82f366"]}],"mendeley":{"formattedCitation":"(Agustianto, 2021)","plainTextFormattedCitation":"(Agustianto, 2021)"},"properties":{"noteIndex":0},"schema":"https://github.com/citation-style-language/schema/raw/master/csl-citation.json"}</w:instrText>
      </w:r>
      <w:r w:rsidR="00AA0F0C">
        <w:rPr>
          <w:rFonts w:ascii="Times New Roman" w:hAnsi="Times New Roman" w:cs="Times New Roman"/>
          <w:sz w:val="24"/>
          <w:szCs w:val="24"/>
          <w:lang w:val="en-US"/>
        </w:rPr>
        <w:fldChar w:fldCharType="separate"/>
      </w:r>
      <w:r w:rsidR="00AA0F0C" w:rsidRPr="00AA0F0C">
        <w:rPr>
          <w:rFonts w:ascii="Times New Roman" w:hAnsi="Times New Roman" w:cs="Times New Roman"/>
          <w:noProof/>
          <w:sz w:val="24"/>
          <w:szCs w:val="24"/>
          <w:lang w:val="en-US"/>
        </w:rPr>
        <w:t>(Agustianto, 2021)</w:t>
      </w:r>
      <w:r w:rsidR="00AA0F0C">
        <w:rPr>
          <w:rFonts w:ascii="Times New Roman" w:hAnsi="Times New Roman" w:cs="Times New Roman"/>
          <w:sz w:val="24"/>
          <w:szCs w:val="24"/>
          <w:lang w:val="en-US"/>
        </w:rPr>
        <w:fldChar w:fldCharType="end"/>
      </w:r>
      <w:r w:rsidR="00AA0F0C">
        <w:rPr>
          <w:rFonts w:ascii="Times New Roman" w:hAnsi="Times New Roman" w:cs="Times New Roman"/>
          <w:sz w:val="24"/>
          <w:szCs w:val="24"/>
          <w:lang w:val="en-US"/>
        </w:rPr>
        <w:t>.</w:t>
      </w:r>
    </w:p>
    <w:p w:rsidR="00641FE3" w:rsidRDefault="00641FE3" w:rsidP="00641FE3">
      <w:pPr>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Hukum asuransi dalam Islam diklasifikasikan menjdai 4 kategori berdasarkan pendapat para ulama Islam yaitu :</w:t>
      </w:r>
    </w:p>
    <w:p w:rsidR="00641FE3" w:rsidRDefault="00641FE3" w:rsidP="00641FE3">
      <w:pPr>
        <w:pStyle w:val="ListParagraph"/>
        <w:numPr>
          <w:ilvl w:val="0"/>
          <w:numId w:val="3"/>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Haram karena mengandung ambiguitas dan perjudian (Sayyid Sabiq mengungkapkan dalam bukunya Fiqh Al-Sunnah)</w:t>
      </w:r>
    </w:p>
    <w:p w:rsidR="00641FE3" w:rsidRDefault="00641FE3" w:rsidP="00641FE3">
      <w:pPr>
        <w:pStyle w:val="ListParagraph"/>
        <w:numPr>
          <w:ilvl w:val="0"/>
          <w:numId w:val="3"/>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Mubah karena tidak ada dalam nas Al-Quran dan Hadits yang di larang dengan alasan (Abdul Wahab Khalaf, Mustafa Ahmad Zarqa, Muhammad Yusuf Musa).</w:t>
      </w:r>
    </w:p>
    <w:p w:rsidR="00641FE3" w:rsidRDefault="00641FE3" w:rsidP="00641FE3">
      <w:pPr>
        <w:pStyle w:val="ListParagraph"/>
        <w:numPr>
          <w:ilvl w:val="0"/>
          <w:numId w:val="3"/>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Mengizinkan asuransi sosial dan melarang asuransi komersial </w:t>
      </w:r>
      <w:r w:rsidR="00AE097D">
        <w:rPr>
          <w:rFonts w:ascii="Times New Roman" w:hAnsi="Times New Roman" w:cs="Times New Roman"/>
          <w:sz w:val="24"/>
          <w:szCs w:val="24"/>
          <w:lang w:val="en-US"/>
        </w:rPr>
        <w:t>(Muhammad Abu Zahrah)</w:t>
      </w:r>
    </w:p>
    <w:p w:rsidR="00AE097D" w:rsidRPr="00641FE3" w:rsidRDefault="00AE097D" w:rsidP="00641FE3">
      <w:pPr>
        <w:pStyle w:val="ListParagraph"/>
        <w:numPr>
          <w:ilvl w:val="0"/>
          <w:numId w:val="3"/>
        </w:num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Syubhat, sebab tidak ada argumen Islam yang melarangnya.</w:t>
      </w:r>
    </w:p>
    <w:p w:rsidR="00AA18E6" w:rsidRPr="00AA18E6" w:rsidRDefault="00AA18E6" w:rsidP="001F498A">
      <w:pPr>
        <w:spacing w:after="0" w:line="240" w:lineRule="auto"/>
        <w:jc w:val="both"/>
        <w:rPr>
          <w:rFonts w:asciiTheme="majorBidi" w:hAnsiTheme="majorBidi" w:cstheme="majorBidi"/>
          <w:b/>
          <w:bCs/>
          <w:sz w:val="24"/>
          <w:szCs w:val="24"/>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FC749F" w:rsidRDefault="00FC749F" w:rsidP="00FC749F">
      <w:pPr>
        <w:rPr>
          <w:rFonts w:ascii="Times New Roman" w:hAnsi="Times New Roman" w:cs="Times New Roman"/>
          <w:b/>
          <w:sz w:val="24"/>
          <w:szCs w:val="24"/>
        </w:rPr>
      </w:pPr>
      <w:r>
        <w:rPr>
          <w:rFonts w:ascii="Times New Roman" w:hAnsi="Times New Roman" w:cs="Times New Roman"/>
          <w:sz w:val="24"/>
          <w:szCs w:val="24"/>
        </w:rPr>
        <w:tab/>
        <w:t>Jenis penelitian ini merupakan penelitian deskriptif dengan menggunakan pendekatan kuntatitatif</w:t>
      </w:r>
      <w:r>
        <w:rPr>
          <w:rFonts w:ascii="Times New Roman" w:hAnsi="Times New Roman" w:cs="Times New Roman"/>
          <w:b/>
          <w:sz w:val="24"/>
          <w:szCs w:val="24"/>
        </w:rPr>
        <w:t xml:space="preserve">. </w:t>
      </w:r>
      <w:r>
        <w:rPr>
          <w:rFonts w:ascii="Times New Roman" w:hAnsi="Times New Roman" w:cs="Times New Roman"/>
          <w:sz w:val="24"/>
          <w:szCs w:val="24"/>
        </w:rPr>
        <w:t xml:space="preserve">Populasi dalam penelitian ini merupakan Perusahaan Asuransi yang terdaftar di Bursa Efek Indonesia yang jumlahnya 15 perusahaan. Sampel yang diambil dengan metode data </w:t>
      </w:r>
      <w:r>
        <w:rPr>
          <w:rFonts w:ascii="Times New Roman" w:hAnsi="Times New Roman" w:cs="Times New Roman"/>
          <w:i/>
          <w:sz w:val="24"/>
          <w:szCs w:val="24"/>
        </w:rPr>
        <w:t>purposive sampling</w:t>
      </w:r>
      <w:r>
        <w:rPr>
          <w:rFonts w:ascii="Times New Roman" w:hAnsi="Times New Roman" w:cs="Times New Roman"/>
          <w:sz w:val="24"/>
          <w:szCs w:val="24"/>
        </w:rPr>
        <w:t xml:space="preserve"> adalah pengambilan sampel dengan berbagai kriteria-kriteria yang di tentukan sesuai dengan penelitian. Maka sampel dalam penelitian menjadi 10 perushaan periode 2017-2021 yang berdasarkan kriteria. Data yang digunakan dalam penelitian ini adalah data sekunder yang berupa laporan keuangan perusahaan asuransi yang terdaftar di Bursa Efek Indonesia yang di peroleh dari website Bursa Efek Indonesia (</w:t>
      </w:r>
      <w:hyperlink r:id="rId9" w:history="1">
        <w:r w:rsidRPr="00E805AD">
          <w:rPr>
            <w:rStyle w:val="Hyperlink"/>
            <w:rFonts w:ascii="Times New Roman" w:hAnsi="Times New Roman" w:cs="Times New Roman"/>
            <w:i/>
            <w:sz w:val="24"/>
            <w:szCs w:val="24"/>
          </w:rPr>
          <w:t>www.idx.com</w:t>
        </w:r>
      </w:hyperlink>
      <w:r>
        <w:rPr>
          <w:rFonts w:ascii="Times New Roman" w:hAnsi="Times New Roman" w:cs="Times New Roman"/>
          <w:i/>
          <w:sz w:val="24"/>
          <w:szCs w:val="24"/>
        </w:rPr>
        <w:t>)</w:t>
      </w:r>
      <w:r>
        <w:rPr>
          <w:rFonts w:ascii="Times New Roman" w:hAnsi="Times New Roman" w:cs="Times New Roman"/>
          <w:sz w:val="24"/>
          <w:szCs w:val="24"/>
        </w:rPr>
        <w:t xml:space="preserve"> dan </w:t>
      </w:r>
      <w:r>
        <w:rPr>
          <w:rFonts w:ascii="Times New Roman" w:hAnsi="Times New Roman" w:cs="Times New Roman"/>
          <w:i/>
          <w:sz w:val="24"/>
          <w:szCs w:val="24"/>
        </w:rPr>
        <w:t>idnfinancials.com.</w:t>
      </w:r>
    </w:p>
    <w:p w:rsidR="00397BA1" w:rsidRDefault="000232F4" w:rsidP="00FC749F">
      <w:pPr>
        <w:rPr>
          <w:rFonts w:ascii="Times New Roman" w:hAnsi="Times New Roman" w:cs="Times New Roman"/>
          <w:b/>
          <w:sz w:val="24"/>
          <w:szCs w:val="24"/>
        </w:rPr>
      </w:pPr>
      <w:r>
        <w:rPr>
          <w:rFonts w:asciiTheme="majorBidi" w:hAnsiTheme="majorBidi" w:cstheme="majorBidi"/>
          <w:b/>
          <w:bCs/>
          <w:sz w:val="24"/>
          <w:szCs w:val="24"/>
        </w:rPr>
        <w:t>4. HASIL PEMBAHASAN</w:t>
      </w:r>
    </w:p>
    <w:p w:rsidR="00FC749F" w:rsidRPr="00453FE2" w:rsidRDefault="00FC749F" w:rsidP="00FC749F">
      <w:pPr>
        <w:rPr>
          <w:rFonts w:ascii="Times New Roman" w:hAnsi="Times New Roman" w:cs="Times New Roman"/>
          <w:b/>
          <w:sz w:val="24"/>
          <w:szCs w:val="24"/>
        </w:rPr>
      </w:pPr>
      <w:r>
        <w:rPr>
          <w:rFonts w:ascii="Times New Roman" w:hAnsi="Times New Roman" w:cs="Times New Roman"/>
          <w:b/>
          <w:sz w:val="24"/>
          <w:szCs w:val="24"/>
        </w:rPr>
        <w:t>Tabel 1 Statistik Deskriptif</w:t>
      </w:r>
    </w:p>
    <w:tbl>
      <w:tblPr>
        <w:tblW w:w="7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0"/>
        <w:gridCol w:w="1038"/>
        <w:gridCol w:w="1084"/>
        <w:gridCol w:w="1115"/>
        <w:gridCol w:w="1099"/>
        <w:gridCol w:w="1455"/>
      </w:tblGrid>
      <w:tr w:rsidR="00FC749F" w:rsidTr="009002E0">
        <w:trPr>
          <w:cantSplit/>
        </w:trPr>
        <w:tc>
          <w:tcPr>
            <w:tcW w:w="7509" w:type="dxa"/>
            <w:gridSpan w:val="6"/>
            <w:tcBorders>
              <w:top w:val="nil"/>
              <w:left w:val="nil"/>
              <w:bottom w:val="nil"/>
              <w:right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FC749F" w:rsidTr="009002E0">
        <w:trPr>
          <w:cantSplit/>
        </w:trPr>
        <w:tc>
          <w:tcPr>
            <w:tcW w:w="171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C749F" w:rsidRDefault="00FC749F" w:rsidP="009002E0">
            <w:pPr>
              <w:rPr>
                <w:rFonts w:ascii="Times New Roman" w:hAnsi="Times New Roman" w:cs="Times New Roman"/>
                <w:sz w:val="24"/>
                <w:szCs w:val="24"/>
              </w:rPr>
            </w:pPr>
          </w:p>
        </w:tc>
        <w:tc>
          <w:tcPr>
            <w:tcW w:w="1037" w:type="dxa"/>
            <w:tcBorders>
              <w:top w:val="single" w:sz="16" w:space="0" w:color="000000"/>
              <w:left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N</w:t>
            </w:r>
          </w:p>
        </w:tc>
        <w:tc>
          <w:tcPr>
            <w:tcW w:w="1084"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Minimum</w:t>
            </w:r>
          </w:p>
        </w:tc>
        <w:tc>
          <w:tcPr>
            <w:tcW w:w="1115"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Maximum</w:t>
            </w:r>
          </w:p>
        </w:tc>
        <w:tc>
          <w:tcPr>
            <w:tcW w:w="1099"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Mean</w:t>
            </w:r>
          </w:p>
        </w:tc>
        <w:tc>
          <w:tcPr>
            <w:tcW w:w="1455" w:type="dxa"/>
            <w:tcBorders>
              <w:top w:val="single" w:sz="16" w:space="0" w:color="000000"/>
              <w:bottom w:val="single" w:sz="16" w:space="0" w:color="000000"/>
              <w:right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Std. Deviation</w:t>
            </w:r>
          </w:p>
        </w:tc>
      </w:tr>
      <w:tr w:rsidR="00FC749F" w:rsidTr="009002E0">
        <w:trPr>
          <w:cantSplit/>
        </w:trPr>
        <w:tc>
          <w:tcPr>
            <w:tcW w:w="1719" w:type="dxa"/>
            <w:tcBorders>
              <w:top w:val="single" w:sz="16" w:space="0" w:color="000000"/>
              <w:left w:val="single" w:sz="16" w:space="0" w:color="000000"/>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X1</w:t>
            </w:r>
          </w:p>
        </w:tc>
        <w:tc>
          <w:tcPr>
            <w:tcW w:w="1037" w:type="dxa"/>
            <w:tcBorders>
              <w:top w:val="single" w:sz="16" w:space="0" w:color="000000"/>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223</w:t>
            </w:r>
          </w:p>
        </w:tc>
        <w:tc>
          <w:tcPr>
            <w:tcW w:w="1115"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12070</w:t>
            </w:r>
          </w:p>
        </w:tc>
        <w:tc>
          <w:tcPr>
            <w:tcW w:w="1099"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3417.53</w:t>
            </w:r>
          </w:p>
        </w:tc>
        <w:tc>
          <w:tcPr>
            <w:tcW w:w="1455" w:type="dxa"/>
            <w:tcBorders>
              <w:top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3912.741</w:t>
            </w:r>
          </w:p>
        </w:tc>
      </w:tr>
      <w:tr w:rsidR="00FC749F" w:rsidTr="009002E0">
        <w:trPr>
          <w:cantSplit/>
        </w:trPr>
        <w:tc>
          <w:tcPr>
            <w:tcW w:w="1719"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lastRenderedPageBreak/>
              <w:t>X2</w:t>
            </w:r>
          </w:p>
        </w:tc>
        <w:tc>
          <w:tcPr>
            <w:tcW w:w="1037"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122</w:t>
            </w:r>
          </w:p>
        </w:tc>
        <w:tc>
          <w:tcPr>
            <w:tcW w:w="111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3111</w:t>
            </w:r>
          </w:p>
        </w:tc>
        <w:tc>
          <w:tcPr>
            <w:tcW w:w="1099"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1301.09</w:t>
            </w:r>
          </w:p>
        </w:tc>
        <w:tc>
          <w:tcPr>
            <w:tcW w:w="1455" w:type="dxa"/>
            <w:tcBorders>
              <w:top w:val="nil"/>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1129.835</w:t>
            </w:r>
          </w:p>
        </w:tc>
      </w:tr>
      <w:tr w:rsidR="00FC749F" w:rsidTr="009002E0">
        <w:trPr>
          <w:cantSplit/>
        </w:trPr>
        <w:tc>
          <w:tcPr>
            <w:tcW w:w="1719"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X3</w:t>
            </w:r>
          </w:p>
        </w:tc>
        <w:tc>
          <w:tcPr>
            <w:tcW w:w="1037"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139.05</w:t>
            </w:r>
          </w:p>
        </w:tc>
        <w:tc>
          <w:tcPr>
            <w:tcW w:w="111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787.05</w:t>
            </w:r>
          </w:p>
        </w:tc>
        <w:tc>
          <w:tcPr>
            <w:tcW w:w="1099"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321.4848</w:t>
            </w:r>
          </w:p>
        </w:tc>
        <w:tc>
          <w:tcPr>
            <w:tcW w:w="1455" w:type="dxa"/>
            <w:tcBorders>
              <w:top w:val="nil"/>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191.02377</w:t>
            </w:r>
          </w:p>
        </w:tc>
      </w:tr>
      <w:tr w:rsidR="00FC749F" w:rsidTr="009002E0">
        <w:trPr>
          <w:cantSplit/>
        </w:trPr>
        <w:tc>
          <w:tcPr>
            <w:tcW w:w="1719"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X4</w:t>
            </w:r>
          </w:p>
        </w:tc>
        <w:tc>
          <w:tcPr>
            <w:tcW w:w="1037"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17.63</w:t>
            </w:r>
          </w:p>
        </w:tc>
        <w:tc>
          <w:tcPr>
            <w:tcW w:w="111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862.80</w:t>
            </w:r>
          </w:p>
        </w:tc>
        <w:tc>
          <w:tcPr>
            <w:tcW w:w="1099"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290.8830</w:t>
            </w:r>
          </w:p>
        </w:tc>
        <w:tc>
          <w:tcPr>
            <w:tcW w:w="1455" w:type="dxa"/>
            <w:tcBorders>
              <w:top w:val="nil"/>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239.32127</w:t>
            </w:r>
          </w:p>
        </w:tc>
      </w:tr>
      <w:tr w:rsidR="00FC749F" w:rsidTr="009002E0">
        <w:trPr>
          <w:cantSplit/>
        </w:trPr>
        <w:tc>
          <w:tcPr>
            <w:tcW w:w="1719"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Y</w:t>
            </w:r>
          </w:p>
        </w:tc>
        <w:tc>
          <w:tcPr>
            <w:tcW w:w="1037"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1.93</w:t>
            </w:r>
          </w:p>
        </w:tc>
        <w:tc>
          <w:tcPr>
            <w:tcW w:w="111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17.86</w:t>
            </w:r>
          </w:p>
        </w:tc>
        <w:tc>
          <w:tcPr>
            <w:tcW w:w="1099"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8.5260</w:t>
            </w:r>
          </w:p>
        </w:tc>
        <w:tc>
          <w:tcPr>
            <w:tcW w:w="1455" w:type="dxa"/>
            <w:tcBorders>
              <w:top w:val="nil"/>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4.98540</w:t>
            </w:r>
          </w:p>
        </w:tc>
      </w:tr>
      <w:tr w:rsidR="00FC749F" w:rsidTr="009002E0">
        <w:trPr>
          <w:cantSplit/>
        </w:trPr>
        <w:tc>
          <w:tcPr>
            <w:tcW w:w="1719" w:type="dxa"/>
            <w:tcBorders>
              <w:top w:val="nil"/>
              <w:left w:val="single" w:sz="16" w:space="0" w:color="000000"/>
              <w:bottom w:val="single" w:sz="16" w:space="0" w:color="000000"/>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Valid N (listwise)</w:t>
            </w:r>
          </w:p>
        </w:tc>
        <w:tc>
          <w:tcPr>
            <w:tcW w:w="1037" w:type="dxa"/>
            <w:tcBorders>
              <w:top w:val="nil"/>
              <w:left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w:t>
            </w:r>
          </w:p>
        </w:tc>
        <w:tc>
          <w:tcPr>
            <w:tcW w:w="1084" w:type="dxa"/>
            <w:tcBorders>
              <w:top w:val="nil"/>
              <w:bottom w:val="single" w:sz="16" w:space="0" w:color="000000"/>
            </w:tcBorders>
            <w:shd w:val="clear" w:color="auto" w:fill="FFFFFF"/>
            <w:vAlign w:val="center"/>
          </w:tcPr>
          <w:p w:rsidR="00FC749F" w:rsidRDefault="00FC749F" w:rsidP="009002E0">
            <w:pPr>
              <w:rPr>
                <w:rFonts w:ascii="Times New Roman" w:hAnsi="Times New Roman" w:cs="Times New Roman"/>
                <w:sz w:val="24"/>
                <w:szCs w:val="24"/>
              </w:rPr>
            </w:pPr>
          </w:p>
        </w:tc>
        <w:tc>
          <w:tcPr>
            <w:tcW w:w="1115" w:type="dxa"/>
            <w:tcBorders>
              <w:top w:val="nil"/>
              <w:bottom w:val="single" w:sz="16" w:space="0" w:color="000000"/>
            </w:tcBorders>
            <w:shd w:val="clear" w:color="auto" w:fill="FFFFFF"/>
            <w:vAlign w:val="center"/>
          </w:tcPr>
          <w:p w:rsidR="00FC749F" w:rsidRDefault="00FC749F" w:rsidP="009002E0">
            <w:pPr>
              <w:rPr>
                <w:rFonts w:ascii="Times New Roman" w:hAnsi="Times New Roman" w:cs="Times New Roman"/>
                <w:sz w:val="24"/>
                <w:szCs w:val="24"/>
              </w:rPr>
            </w:pPr>
          </w:p>
        </w:tc>
        <w:tc>
          <w:tcPr>
            <w:tcW w:w="1099" w:type="dxa"/>
            <w:tcBorders>
              <w:top w:val="nil"/>
              <w:bottom w:val="single" w:sz="16" w:space="0" w:color="000000"/>
            </w:tcBorders>
            <w:shd w:val="clear" w:color="auto" w:fill="FFFFFF"/>
            <w:vAlign w:val="center"/>
          </w:tcPr>
          <w:p w:rsidR="00FC749F" w:rsidRDefault="00FC749F" w:rsidP="009002E0">
            <w:pPr>
              <w:rPr>
                <w:rFonts w:ascii="Times New Roman" w:hAnsi="Times New Roman" w:cs="Times New Roman"/>
                <w:sz w:val="24"/>
                <w:szCs w:val="24"/>
              </w:rPr>
            </w:pPr>
          </w:p>
        </w:tc>
        <w:tc>
          <w:tcPr>
            <w:tcW w:w="1455" w:type="dxa"/>
            <w:tcBorders>
              <w:top w:val="nil"/>
              <w:bottom w:val="single" w:sz="16" w:space="0" w:color="000000"/>
              <w:right w:val="single" w:sz="16" w:space="0" w:color="000000"/>
            </w:tcBorders>
            <w:shd w:val="clear" w:color="auto" w:fill="FFFFFF"/>
            <w:vAlign w:val="center"/>
          </w:tcPr>
          <w:p w:rsidR="00FC749F" w:rsidRDefault="00FC749F" w:rsidP="009002E0">
            <w:pPr>
              <w:rPr>
                <w:rFonts w:ascii="Times New Roman" w:hAnsi="Times New Roman" w:cs="Times New Roman"/>
                <w:sz w:val="24"/>
                <w:szCs w:val="24"/>
              </w:rPr>
            </w:pPr>
          </w:p>
        </w:tc>
      </w:tr>
    </w:tbl>
    <w:p w:rsidR="00FC749F" w:rsidRDefault="00FC749F" w:rsidP="00FC749F">
      <w:pPr>
        <w:spacing w:line="400" w:lineRule="atLeast"/>
        <w:ind w:firstLine="720"/>
        <w:rPr>
          <w:rFonts w:ascii="Times New Roman" w:hAnsi="Times New Roman" w:cs="Times New Roman"/>
          <w:sz w:val="24"/>
          <w:szCs w:val="24"/>
        </w:rPr>
      </w:pPr>
      <w:r>
        <w:rPr>
          <w:rFonts w:ascii="Times New Roman" w:hAnsi="Times New Roman" w:cs="Times New Roman"/>
          <w:sz w:val="24"/>
          <w:szCs w:val="24"/>
        </w:rPr>
        <w:t>Berdasarkan hasil perhitungan statistik deskriptif dapat diketahui bahwa N atau data yang diproses sebanyak 10. Data tersebut juga menunjukkan bahwa kinerja keuangan perusahaan mempunyai nilai minimum sebesar 1.93dan nilai maksimum sebesar 17.86 nilai rata-rata (mean) adalah sebesar 8.5260 dengan standar deviasi sebesar 4.98540 . pada variabel X1 menunjukkan bahwa selama periode penelitian ini memiliki nilai minimum 223 dan memiliki nilai maksimum 12070 nilai rata-rata sebesar 3417.53 dengan standar deviasi 3912.741. Pada variabel X2  memiliki nilai minimum sebesar 122 dan nilai maksimum 3111 nilai rata-rata sebesar 1301.09  dengan standar deviasi 1129.835. Variabel X3 mempunyai nilai minimum sebesar 139.05 dan memiliki nilai maksimum 787.05 , nilai rata-rata sebesar 321.4848 dengan standar deviasi 191.02377. Sedangkan variabel X4 memiliki nilai minimum sebesar  17.63 dan nilai maksimum sebesar 862.80 , nilai rata-rata sebesar 8.5260 dan dengan standar deviasi sebesar 4.98540.</w:t>
      </w:r>
    </w:p>
    <w:p w:rsidR="00FC749F" w:rsidRPr="001A110C" w:rsidRDefault="00FC749F" w:rsidP="00FC749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Tabel 2 Uji Normalitas</w:t>
      </w:r>
    </w:p>
    <w:tbl>
      <w:tblPr>
        <w:tblW w:w="5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9"/>
        <w:gridCol w:w="1302"/>
        <w:gridCol w:w="2453"/>
      </w:tblGrid>
      <w:tr w:rsidR="00FC749F" w:rsidTr="009002E0">
        <w:trPr>
          <w:cantSplit/>
          <w:trHeight w:val="416"/>
        </w:trPr>
        <w:tc>
          <w:tcPr>
            <w:tcW w:w="5954" w:type="dxa"/>
            <w:gridSpan w:val="3"/>
            <w:tcBorders>
              <w:top w:val="nil"/>
              <w:left w:val="nil"/>
              <w:bottom w:val="nil"/>
              <w:right w:val="nil"/>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b/>
                <w:bCs/>
                <w:sz w:val="18"/>
                <w:szCs w:val="18"/>
              </w:rPr>
              <w:t>One-Sample Kolmogorov-Smirnov Test</w:t>
            </w:r>
          </w:p>
        </w:tc>
      </w:tr>
      <w:tr w:rsidR="00FC749F" w:rsidTr="009002E0">
        <w:trPr>
          <w:cantSplit/>
          <w:trHeight w:val="416"/>
        </w:trPr>
        <w:tc>
          <w:tcPr>
            <w:tcW w:w="3501" w:type="dxa"/>
            <w:gridSpan w:val="2"/>
            <w:tcBorders>
              <w:top w:val="single" w:sz="16" w:space="0" w:color="000000"/>
              <w:left w:val="single" w:sz="16" w:space="0" w:color="000000"/>
              <w:bottom w:val="single" w:sz="16" w:space="0" w:color="000000"/>
              <w:right w:val="nil"/>
            </w:tcBorders>
            <w:shd w:val="clear" w:color="auto" w:fill="FFFFFF"/>
            <w:vAlign w:val="bottom"/>
          </w:tcPr>
          <w:p w:rsidR="00FC749F" w:rsidRDefault="00FC749F" w:rsidP="009002E0">
            <w:pPr>
              <w:jc w:val="both"/>
              <w:rPr>
                <w:rFonts w:ascii="Times New Roman" w:hAnsi="Times New Roman" w:cs="Times New Roman"/>
                <w:sz w:val="24"/>
                <w:szCs w:val="24"/>
              </w:rPr>
            </w:pPr>
          </w:p>
        </w:tc>
        <w:tc>
          <w:tcPr>
            <w:tcW w:w="245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Unstandardized Residual</w:t>
            </w:r>
          </w:p>
        </w:tc>
      </w:tr>
      <w:tr w:rsidR="00FC749F" w:rsidTr="009002E0">
        <w:trPr>
          <w:cantSplit/>
          <w:trHeight w:val="401"/>
        </w:trPr>
        <w:tc>
          <w:tcPr>
            <w:tcW w:w="3501" w:type="dxa"/>
            <w:gridSpan w:val="2"/>
            <w:tcBorders>
              <w:top w:val="single" w:sz="16" w:space="0" w:color="000000"/>
              <w:left w:val="single" w:sz="16" w:space="0" w:color="000000"/>
              <w:bottom w:val="nil"/>
              <w:right w:val="nil"/>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N</w:t>
            </w:r>
          </w:p>
        </w:tc>
        <w:tc>
          <w:tcPr>
            <w:tcW w:w="2453" w:type="dxa"/>
            <w:tcBorders>
              <w:top w:val="single" w:sz="16" w:space="0" w:color="000000"/>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10</w:t>
            </w:r>
          </w:p>
        </w:tc>
      </w:tr>
      <w:tr w:rsidR="00FC749F" w:rsidTr="009002E0">
        <w:trPr>
          <w:cantSplit/>
          <w:trHeight w:val="416"/>
        </w:trPr>
        <w:tc>
          <w:tcPr>
            <w:tcW w:w="2199" w:type="dxa"/>
            <w:vMerge w:val="restart"/>
            <w:tcBorders>
              <w:top w:val="nil"/>
              <w:left w:val="single" w:sz="16" w:space="0" w:color="000000"/>
              <w:bottom w:val="nil"/>
              <w:right w:val="nil"/>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Normal Parameters</w:t>
            </w:r>
            <w:r>
              <w:rPr>
                <w:rFonts w:ascii="Arial" w:hAnsi="Arial" w:cs="Arial"/>
                <w:sz w:val="18"/>
                <w:szCs w:val="18"/>
                <w:vertAlign w:val="superscript"/>
              </w:rPr>
              <w:t>a,b</w:t>
            </w:r>
          </w:p>
        </w:tc>
        <w:tc>
          <w:tcPr>
            <w:tcW w:w="1302"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Mean</w:t>
            </w:r>
          </w:p>
        </w:tc>
        <w:tc>
          <w:tcPr>
            <w:tcW w:w="2453" w:type="dxa"/>
            <w:tcBorders>
              <w:top w:val="nil"/>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.0000000</w:t>
            </w:r>
          </w:p>
        </w:tc>
      </w:tr>
      <w:tr w:rsidR="00FC749F" w:rsidTr="009002E0">
        <w:trPr>
          <w:cantSplit/>
          <w:trHeight w:val="125"/>
        </w:trPr>
        <w:tc>
          <w:tcPr>
            <w:tcW w:w="2199" w:type="dxa"/>
            <w:vMerge/>
            <w:tcBorders>
              <w:top w:val="nil"/>
              <w:left w:val="single" w:sz="16" w:space="0" w:color="000000"/>
              <w:bottom w:val="nil"/>
              <w:right w:val="nil"/>
            </w:tcBorders>
            <w:shd w:val="clear" w:color="auto" w:fill="FFFFFF"/>
          </w:tcPr>
          <w:p w:rsidR="00FC749F" w:rsidRDefault="00FC749F" w:rsidP="009002E0">
            <w:pPr>
              <w:jc w:val="both"/>
              <w:rPr>
                <w:rFonts w:ascii="Arial" w:hAnsi="Arial" w:cs="Arial"/>
                <w:sz w:val="18"/>
                <w:szCs w:val="18"/>
              </w:rPr>
            </w:pPr>
          </w:p>
        </w:tc>
        <w:tc>
          <w:tcPr>
            <w:tcW w:w="1302" w:type="dxa"/>
            <w:tcBorders>
              <w:top w:val="nil"/>
              <w:left w:val="nil"/>
              <w:right w:val="single" w:sz="16" w:space="0" w:color="000000"/>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Std. Deviation</w:t>
            </w:r>
          </w:p>
        </w:tc>
        <w:tc>
          <w:tcPr>
            <w:tcW w:w="2453" w:type="dxa"/>
            <w:tcBorders>
              <w:top w:val="nil"/>
              <w:left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4.25844545</w:t>
            </w:r>
          </w:p>
        </w:tc>
      </w:tr>
      <w:tr w:rsidR="00FC749F" w:rsidTr="009002E0">
        <w:trPr>
          <w:cantSplit/>
          <w:trHeight w:val="428"/>
        </w:trPr>
        <w:tc>
          <w:tcPr>
            <w:tcW w:w="2199" w:type="dxa"/>
            <w:vMerge w:val="restart"/>
            <w:tcBorders>
              <w:top w:val="nil"/>
              <w:left w:val="single" w:sz="16" w:space="0" w:color="000000"/>
              <w:right w:val="nil"/>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Most Extreme Differences</w:t>
            </w:r>
          </w:p>
        </w:tc>
        <w:tc>
          <w:tcPr>
            <w:tcW w:w="1302" w:type="dxa"/>
            <w:tcBorders>
              <w:top w:val="nil"/>
              <w:left w:val="nil"/>
              <w:right w:val="single" w:sz="16" w:space="0" w:color="000000"/>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Absolute</w:t>
            </w:r>
          </w:p>
        </w:tc>
        <w:tc>
          <w:tcPr>
            <w:tcW w:w="2453" w:type="dxa"/>
            <w:tcBorders>
              <w:top w:val="nil"/>
              <w:left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.229</w:t>
            </w:r>
          </w:p>
        </w:tc>
      </w:tr>
      <w:tr w:rsidR="00FC749F" w:rsidTr="009002E0">
        <w:trPr>
          <w:cantSplit/>
          <w:trHeight w:val="125"/>
        </w:trPr>
        <w:tc>
          <w:tcPr>
            <w:tcW w:w="2199" w:type="dxa"/>
            <w:vMerge/>
            <w:tcBorders>
              <w:top w:val="nil"/>
              <w:left w:val="single" w:sz="16" w:space="0" w:color="000000"/>
              <w:right w:val="nil"/>
            </w:tcBorders>
            <w:shd w:val="clear" w:color="auto" w:fill="FFFFFF"/>
          </w:tcPr>
          <w:p w:rsidR="00FC749F" w:rsidRDefault="00FC749F" w:rsidP="009002E0">
            <w:pPr>
              <w:jc w:val="both"/>
              <w:rPr>
                <w:rFonts w:ascii="Arial" w:hAnsi="Arial" w:cs="Arial"/>
                <w:sz w:val="18"/>
                <w:szCs w:val="18"/>
              </w:rPr>
            </w:pPr>
          </w:p>
        </w:tc>
        <w:tc>
          <w:tcPr>
            <w:tcW w:w="1302"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Positive</w:t>
            </w:r>
          </w:p>
        </w:tc>
        <w:tc>
          <w:tcPr>
            <w:tcW w:w="2453" w:type="dxa"/>
            <w:tcBorders>
              <w:top w:val="nil"/>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.229</w:t>
            </w:r>
          </w:p>
        </w:tc>
      </w:tr>
      <w:tr w:rsidR="00FC749F" w:rsidTr="009002E0">
        <w:trPr>
          <w:cantSplit/>
          <w:trHeight w:val="125"/>
        </w:trPr>
        <w:tc>
          <w:tcPr>
            <w:tcW w:w="2199" w:type="dxa"/>
            <w:vMerge/>
            <w:tcBorders>
              <w:top w:val="nil"/>
              <w:left w:val="single" w:sz="16" w:space="0" w:color="000000"/>
              <w:right w:val="nil"/>
            </w:tcBorders>
            <w:shd w:val="clear" w:color="auto" w:fill="FFFFFF"/>
          </w:tcPr>
          <w:p w:rsidR="00FC749F" w:rsidRDefault="00FC749F" w:rsidP="009002E0">
            <w:pPr>
              <w:jc w:val="both"/>
              <w:rPr>
                <w:rFonts w:ascii="Arial" w:hAnsi="Arial" w:cs="Arial"/>
                <w:sz w:val="18"/>
                <w:szCs w:val="18"/>
              </w:rPr>
            </w:pPr>
          </w:p>
        </w:tc>
        <w:tc>
          <w:tcPr>
            <w:tcW w:w="1302" w:type="dxa"/>
            <w:tcBorders>
              <w:top w:val="nil"/>
              <w:left w:val="nil"/>
              <w:right w:val="single" w:sz="16" w:space="0" w:color="000000"/>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Negative</w:t>
            </w:r>
          </w:p>
        </w:tc>
        <w:tc>
          <w:tcPr>
            <w:tcW w:w="2453" w:type="dxa"/>
            <w:tcBorders>
              <w:top w:val="nil"/>
              <w:left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-.176</w:t>
            </w:r>
          </w:p>
        </w:tc>
      </w:tr>
      <w:tr w:rsidR="00FC749F" w:rsidTr="009002E0">
        <w:trPr>
          <w:cantSplit/>
          <w:trHeight w:val="428"/>
        </w:trPr>
        <w:tc>
          <w:tcPr>
            <w:tcW w:w="3501" w:type="dxa"/>
            <w:gridSpan w:val="2"/>
            <w:tcBorders>
              <w:top w:val="nil"/>
              <w:left w:val="single" w:sz="16" w:space="0" w:color="000000"/>
              <w:bottom w:val="nil"/>
              <w:right w:val="nil"/>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Test Statistic</w:t>
            </w:r>
          </w:p>
        </w:tc>
        <w:tc>
          <w:tcPr>
            <w:tcW w:w="2453" w:type="dxa"/>
            <w:tcBorders>
              <w:top w:val="nil"/>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.229</w:t>
            </w:r>
          </w:p>
        </w:tc>
      </w:tr>
      <w:tr w:rsidR="00FC749F" w:rsidTr="009002E0">
        <w:trPr>
          <w:cantSplit/>
          <w:trHeight w:val="223"/>
        </w:trPr>
        <w:tc>
          <w:tcPr>
            <w:tcW w:w="3501" w:type="dxa"/>
            <w:gridSpan w:val="2"/>
            <w:tcBorders>
              <w:top w:val="nil"/>
              <w:left w:val="single" w:sz="16" w:space="0" w:color="000000"/>
              <w:bottom w:val="single" w:sz="16" w:space="0" w:color="000000"/>
              <w:right w:val="nil"/>
            </w:tcBorders>
            <w:shd w:val="clear" w:color="auto" w:fill="FFFFFF"/>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Asymp. Sig. (2-tailed)</w:t>
            </w:r>
          </w:p>
        </w:tc>
        <w:tc>
          <w:tcPr>
            <w:tcW w:w="2453" w:type="dxa"/>
            <w:tcBorders>
              <w:top w:val="nil"/>
              <w:left w:val="single" w:sz="16" w:space="0" w:color="000000"/>
              <w:bottom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both"/>
              <w:rPr>
                <w:rFonts w:ascii="Arial" w:hAnsi="Arial" w:cs="Arial"/>
                <w:sz w:val="18"/>
                <w:szCs w:val="18"/>
              </w:rPr>
            </w:pPr>
            <w:r>
              <w:rPr>
                <w:rFonts w:ascii="Arial" w:hAnsi="Arial" w:cs="Arial"/>
                <w:sz w:val="18"/>
                <w:szCs w:val="18"/>
              </w:rPr>
              <w:t>.145</w:t>
            </w:r>
            <w:r>
              <w:rPr>
                <w:rFonts w:ascii="Arial" w:hAnsi="Arial" w:cs="Arial"/>
                <w:sz w:val="18"/>
                <w:szCs w:val="18"/>
                <w:vertAlign w:val="superscript"/>
              </w:rPr>
              <w:t>c</w:t>
            </w:r>
          </w:p>
        </w:tc>
      </w:tr>
    </w:tbl>
    <w:p w:rsidR="00FC749F" w:rsidRDefault="00FC749F" w:rsidP="00FC749F">
      <w:pPr>
        <w:jc w:val="both"/>
        <w:rPr>
          <w:rFonts w:ascii="Arial" w:hAnsi="Arial" w:cs="Arial"/>
          <w:sz w:val="18"/>
          <w:szCs w:val="18"/>
        </w:rPr>
      </w:pPr>
    </w:p>
    <w:tbl>
      <w:tblPr>
        <w:tblW w:w="5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30"/>
      </w:tblGrid>
      <w:tr w:rsidR="00FC749F" w:rsidTr="009002E0">
        <w:trPr>
          <w:cantSplit/>
        </w:trPr>
        <w:tc>
          <w:tcPr>
            <w:tcW w:w="5428"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a. Test distribution is Normal.</w:t>
            </w:r>
          </w:p>
        </w:tc>
      </w:tr>
      <w:tr w:rsidR="00FC749F" w:rsidTr="009002E0">
        <w:trPr>
          <w:cantSplit/>
        </w:trPr>
        <w:tc>
          <w:tcPr>
            <w:tcW w:w="5428"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lastRenderedPageBreak/>
              <w:t>b. Calculated from data.</w:t>
            </w:r>
          </w:p>
        </w:tc>
      </w:tr>
      <w:tr w:rsidR="00FC749F" w:rsidTr="009002E0">
        <w:trPr>
          <w:cantSplit/>
        </w:trPr>
        <w:tc>
          <w:tcPr>
            <w:tcW w:w="5428"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c. Lilliefors Significance Correction.</w:t>
            </w:r>
          </w:p>
        </w:tc>
      </w:tr>
    </w:tbl>
    <w:p w:rsidR="00FC749F" w:rsidRDefault="00FC749F" w:rsidP="00FC749F">
      <w:pPr>
        <w:spacing w:line="400" w:lineRule="atLeast"/>
        <w:rPr>
          <w:rFonts w:ascii="Times New Roman" w:hAnsi="Times New Roman" w:cs="Times New Roman"/>
          <w:sz w:val="24"/>
          <w:szCs w:val="24"/>
        </w:rPr>
      </w:pPr>
      <w:r>
        <w:rPr>
          <w:rFonts w:ascii="Times New Roman" w:hAnsi="Times New Roman" w:cs="Times New Roman"/>
          <w:sz w:val="24"/>
          <w:szCs w:val="24"/>
        </w:rPr>
        <w:tab/>
        <w:t xml:space="preserve">Berdasarkan uji </w:t>
      </w:r>
      <w:r>
        <w:rPr>
          <w:rFonts w:ascii="Times New Roman" w:hAnsi="Times New Roman" w:cs="Times New Roman"/>
          <w:i/>
          <w:sz w:val="24"/>
          <w:szCs w:val="24"/>
        </w:rPr>
        <w:t>Kolmogorov Smirnov</w:t>
      </w:r>
      <w:r>
        <w:rPr>
          <w:rFonts w:ascii="Times New Roman" w:hAnsi="Times New Roman" w:cs="Times New Roman"/>
          <w:sz w:val="24"/>
          <w:szCs w:val="24"/>
        </w:rPr>
        <w:t xml:space="preserve"> diatas di ketahui nilai P </w:t>
      </w:r>
      <w:r>
        <w:rPr>
          <w:rFonts w:ascii="Times New Roman" w:hAnsi="Times New Roman" w:cs="Times New Roman"/>
          <w:i/>
          <w:sz w:val="24"/>
          <w:szCs w:val="24"/>
        </w:rPr>
        <w:t>value (Asymp.Sig)</w:t>
      </w:r>
      <w:r>
        <w:rPr>
          <w:rFonts w:ascii="Times New Roman" w:hAnsi="Times New Roman" w:cs="Times New Roman"/>
          <w:sz w:val="24"/>
          <w:szCs w:val="24"/>
        </w:rPr>
        <w:t xml:space="preserve"> sebesar 0,145, maka nilai P </w:t>
      </w:r>
      <w:r>
        <w:rPr>
          <w:rFonts w:ascii="Times New Roman" w:hAnsi="Times New Roman" w:cs="Times New Roman"/>
          <w:i/>
          <w:sz w:val="24"/>
          <w:szCs w:val="24"/>
        </w:rPr>
        <w:t xml:space="preserve">value (Asymp.Sig) </w:t>
      </w:r>
      <w:r>
        <w:rPr>
          <w:rFonts w:ascii="Times New Roman" w:hAnsi="Times New Roman" w:cs="Times New Roman"/>
          <w:sz w:val="24"/>
          <w:szCs w:val="24"/>
        </w:rPr>
        <w:t>&lt; 0,05. Artinya adalah model regresi berdistribusi normal.</w:t>
      </w:r>
    </w:p>
    <w:p w:rsidR="00FC749F" w:rsidRPr="00827700" w:rsidRDefault="00FC749F" w:rsidP="00FC749F">
      <w:pPr>
        <w:spacing w:line="400" w:lineRule="atLeast"/>
        <w:rPr>
          <w:rFonts w:ascii="Times New Roman" w:hAnsi="Times New Roman" w:cs="Times New Roman"/>
          <w:sz w:val="24"/>
          <w:szCs w:val="24"/>
        </w:rPr>
      </w:pPr>
      <w:r>
        <w:rPr>
          <w:rFonts w:ascii="Times New Roman" w:hAnsi="Times New Roman" w:cs="Times New Roman"/>
          <w:b/>
          <w:sz w:val="24"/>
          <w:szCs w:val="24"/>
        </w:rPr>
        <w:t xml:space="preserve"> Tabel 3 Uji Multikolinieritas</w:t>
      </w:r>
    </w:p>
    <w:p w:rsidR="00FC749F" w:rsidRDefault="00FC749F" w:rsidP="00FC749F">
      <w:pPr>
        <w:spacing w:line="400" w:lineRule="atLeas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 xml:space="preserve">Variance Inflation Factor &amp; Tolerance </w:t>
      </w:r>
    </w:p>
    <w:tbl>
      <w:tblPr>
        <w:tblpPr w:leftFromText="180" w:rightFromText="180" w:vertAnchor="text" w:tblpY="1"/>
        <w:tblOverlap w:val="neve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0"/>
        <w:gridCol w:w="1771"/>
        <w:gridCol w:w="1985"/>
        <w:gridCol w:w="1842"/>
      </w:tblGrid>
      <w:tr w:rsidR="00FC749F" w:rsidTr="009002E0">
        <w:trPr>
          <w:cantSplit/>
        </w:trPr>
        <w:tc>
          <w:tcPr>
            <w:tcW w:w="6096" w:type="dxa"/>
            <w:gridSpan w:val="3"/>
            <w:tcBorders>
              <w:top w:val="nil"/>
              <w:left w:val="nil"/>
              <w:bottom w:val="nil"/>
              <w:right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c>
          <w:tcPr>
            <w:tcW w:w="1842" w:type="dxa"/>
            <w:tcBorders>
              <w:top w:val="nil"/>
              <w:left w:val="nil"/>
              <w:bottom w:val="nil"/>
              <w:right w:val="nil"/>
            </w:tcBorders>
            <w:shd w:val="clear" w:color="auto" w:fill="FFFFFF"/>
          </w:tcPr>
          <w:p w:rsidR="00FC749F" w:rsidRDefault="00FC749F" w:rsidP="009002E0">
            <w:pPr>
              <w:spacing w:line="320" w:lineRule="atLeast"/>
              <w:ind w:left="60" w:right="60"/>
              <w:jc w:val="center"/>
              <w:rPr>
                <w:rFonts w:ascii="Arial" w:hAnsi="Arial" w:cs="Arial"/>
                <w:b/>
                <w:bCs/>
                <w:sz w:val="18"/>
                <w:szCs w:val="18"/>
              </w:rPr>
            </w:pPr>
          </w:p>
        </w:tc>
      </w:tr>
      <w:tr w:rsidR="00FC749F" w:rsidTr="009002E0">
        <w:trPr>
          <w:cantSplit/>
          <w:trHeight w:val="501"/>
        </w:trPr>
        <w:tc>
          <w:tcPr>
            <w:tcW w:w="4111" w:type="dxa"/>
            <w:gridSpan w:val="2"/>
            <w:vMerge w:val="restart"/>
            <w:tcBorders>
              <w:top w:val="single" w:sz="16" w:space="0" w:color="000000"/>
              <w:left w:val="single" w:sz="16" w:space="0" w:color="000000"/>
              <w:right w:val="nil"/>
            </w:tcBorders>
            <w:shd w:val="clear" w:color="auto" w:fill="FFFFFF"/>
            <w:vAlign w:val="bottom"/>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Model</w:t>
            </w:r>
          </w:p>
        </w:tc>
        <w:tc>
          <w:tcPr>
            <w:tcW w:w="3827" w:type="dxa"/>
            <w:gridSpan w:val="2"/>
            <w:tcBorders>
              <w:top w:val="single" w:sz="16" w:space="0" w:color="000000"/>
              <w:left w:val="single" w:sz="16" w:space="0" w:color="000000"/>
              <w:bottom w:val="single" w:sz="18" w:space="0" w:color="000000"/>
              <w:right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Collinearity Statistics</w:t>
            </w:r>
          </w:p>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VIF</w:t>
            </w:r>
          </w:p>
          <w:p w:rsidR="00FC749F" w:rsidRDefault="00FC749F" w:rsidP="009002E0">
            <w:pPr>
              <w:widowControl w:val="0"/>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Pr>
              <w:t>Tolerance</w:t>
            </w:r>
          </w:p>
        </w:tc>
      </w:tr>
      <w:tr w:rsidR="00FC749F" w:rsidTr="009002E0">
        <w:trPr>
          <w:cantSplit/>
          <w:trHeight w:val="501"/>
        </w:trPr>
        <w:tc>
          <w:tcPr>
            <w:tcW w:w="4111" w:type="dxa"/>
            <w:gridSpan w:val="2"/>
            <w:vMerge/>
            <w:tcBorders>
              <w:left w:val="single" w:sz="16" w:space="0" w:color="000000"/>
              <w:bottom w:val="nil"/>
              <w:right w:val="single" w:sz="18" w:space="0" w:color="000000"/>
            </w:tcBorders>
            <w:shd w:val="clear" w:color="auto" w:fill="FFFFFF"/>
            <w:vAlign w:val="bottom"/>
          </w:tcPr>
          <w:p w:rsidR="00FC749F" w:rsidRDefault="00FC749F" w:rsidP="009002E0">
            <w:pPr>
              <w:spacing w:line="320" w:lineRule="atLeast"/>
              <w:ind w:left="60" w:right="60"/>
              <w:rPr>
                <w:rFonts w:ascii="Arial" w:hAnsi="Arial" w:cs="Arial"/>
                <w:sz w:val="18"/>
                <w:szCs w:val="18"/>
              </w:rPr>
            </w:pPr>
          </w:p>
        </w:tc>
        <w:tc>
          <w:tcPr>
            <w:tcW w:w="1985" w:type="dxa"/>
            <w:tcBorders>
              <w:top w:val="single" w:sz="18" w:space="0" w:color="000000"/>
              <w:left w:val="single" w:sz="18"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Tolerance</w:t>
            </w:r>
          </w:p>
        </w:tc>
        <w:tc>
          <w:tcPr>
            <w:tcW w:w="1842" w:type="dxa"/>
            <w:tcBorders>
              <w:top w:val="single" w:sz="18" w:space="0" w:color="000000"/>
              <w:left w:val="single" w:sz="18"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VIF</w:t>
            </w:r>
          </w:p>
        </w:tc>
      </w:tr>
      <w:tr w:rsidR="00FC749F" w:rsidTr="009002E0">
        <w:trPr>
          <w:cantSplit/>
        </w:trPr>
        <w:tc>
          <w:tcPr>
            <w:tcW w:w="2340" w:type="dxa"/>
            <w:vMerge w:val="restart"/>
            <w:tcBorders>
              <w:top w:val="single" w:sz="16" w:space="0" w:color="000000"/>
              <w:left w:val="single" w:sz="16" w:space="0" w:color="000000"/>
              <w:bottom w:val="single" w:sz="16" w:space="0" w:color="000000"/>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1</w:t>
            </w:r>
          </w:p>
        </w:tc>
        <w:tc>
          <w:tcPr>
            <w:tcW w:w="1771" w:type="dxa"/>
            <w:tcBorders>
              <w:top w:val="single" w:sz="16" w:space="0" w:color="000000"/>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(Constant)</w:t>
            </w:r>
          </w:p>
        </w:tc>
        <w:tc>
          <w:tcPr>
            <w:tcW w:w="1985" w:type="dxa"/>
            <w:tcBorders>
              <w:top w:val="single" w:sz="16" w:space="0" w:color="000000"/>
              <w:left w:val="single" w:sz="16" w:space="0" w:color="000000"/>
              <w:bottom w:val="nil"/>
              <w:right w:val="single" w:sz="16" w:space="0" w:color="000000"/>
            </w:tcBorders>
            <w:shd w:val="clear" w:color="auto" w:fill="FFFFFF"/>
            <w:vAlign w:val="center"/>
          </w:tcPr>
          <w:p w:rsidR="00FC749F" w:rsidRDefault="00FC749F" w:rsidP="009002E0">
            <w:pPr>
              <w:rPr>
                <w:rFonts w:ascii="Times New Roman" w:hAnsi="Times New Roman" w:cs="Times New Roman"/>
                <w:sz w:val="24"/>
                <w:szCs w:val="24"/>
              </w:rPr>
            </w:pPr>
          </w:p>
        </w:tc>
        <w:tc>
          <w:tcPr>
            <w:tcW w:w="1842" w:type="dxa"/>
            <w:tcBorders>
              <w:top w:val="single" w:sz="16" w:space="0" w:color="000000"/>
              <w:left w:val="single" w:sz="16" w:space="0" w:color="000000"/>
              <w:bottom w:val="nil"/>
              <w:right w:val="single" w:sz="16" w:space="0" w:color="000000"/>
            </w:tcBorders>
            <w:shd w:val="clear" w:color="auto" w:fill="FFFFFF"/>
          </w:tcPr>
          <w:p w:rsidR="00FC749F" w:rsidRDefault="00FC749F" w:rsidP="009002E0">
            <w:pPr>
              <w:rPr>
                <w:rFonts w:ascii="Times New Roman" w:hAnsi="Times New Roman" w:cs="Times New Roman"/>
                <w:sz w:val="24"/>
                <w:szCs w:val="24"/>
              </w:rPr>
            </w:pPr>
          </w:p>
        </w:tc>
      </w:tr>
      <w:tr w:rsidR="00FC749F" w:rsidTr="009002E0">
        <w:trPr>
          <w:cantSplit/>
        </w:trPr>
        <w:tc>
          <w:tcPr>
            <w:tcW w:w="2340"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Times New Roman" w:hAnsi="Times New Roman" w:cs="Times New Roman"/>
                <w:sz w:val="24"/>
                <w:szCs w:val="24"/>
              </w:rPr>
            </w:pPr>
          </w:p>
        </w:tc>
        <w:tc>
          <w:tcPr>
            <w:tcW w:w="1771" w:type="dxa"/>
            <w:tcBorders>
              <w:top w:val="nil"/>
              <w:left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X1</w:t>
            </w:r>
          </w:p>
        </w:tc>
        <w:tc>
          <w:tcPr>
            <w:tcW w:w="1985" w:type="dxa"/>
            <w:tcBorders>
              <w:top w:val="nil"/>
              <w:left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.474</w:t>
            </w:r>
          </w:p>
        </w:tc>
        <w:tc>
          <w:tcPr>
            <w:tcW w:w="1842" w:type="dxa"/>
            <w:tcBorders>
              <w:top w:val="nil"/>
              <w:left w:val="single" w:sz="16" w:space="0" w:color="000000"/>
              <w:right w:val="single" w:sz="16" w:space="0" w:color="000000"/>
            </w:tcBorders>
            <w:shd w:val="clear" w:color="auto" w:fill="FFFFFF"/>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2.109</w:t>
            </w:r>
          </w:p>
        </w:tc>
      </w:tr>
      <w:tr w:rsidR="00FC749F" w:rsidTr="009002E0">
        <w:trPr>
          <w:cantSplit/>
        </w:trPr>
        <w:tc>
          <w:tcPr>
            <w:tcW w:w="2340"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771"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X2</w:t>
            </w:r>
          </w:p>
        </w:tc>
        <w:tc>
          <w:tcPr>
            <w:tcW w:w="1985" w:type="dxa"/>
            <w:tcBorders>
              <w:top w:val="nil"/>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.435</w:t>
            </w:r>
          </w:p>
        </w:tc>
        <w:tc>
          <w:tcPr>
            <w:tcW w:w="1842"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2.301</w:t>
            </w:r>
          </w:p>
        </w:tc>
      </w:tr>
      <w:tr w:rsidR="00FC749F" w:rsidTr="009002E0">
        <w:trPr>
          <w:cantSplit/>
        </w:trPr>
        <w:tc>
          <w:tcPr>
            <w:tcW w:w="2340"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771"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X3</w:t>
            </w:r>
          </w:p>
        </w:tc>
        <w:tc>
          <w:tcPr>
            <w:tcW w:w="1985" w:type="dxa"/>
            <w:tcBorders>
              <w:top w:val="nil"/>
              <w:left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.587</w:t>
            </w:r>
          </w:p>
        </w:tc>
        <w:tc>
          <w:tcPr>
            <w:tcW w:w="1842" w:type="dxa"/>
            <w:tcBorders>
              <w:top w:val="nil"/>
              <w:left w:val="single" w:sz="16" w:space="0" w:color="000000"/>
              <w:bottom w:val="nil"/>
              <w:right w:val="single" w:sz="16" w:space="0" w:color="000000"/>
            </w:tcBorders>
            <w:shd w:val="clear" w:color="auto" w:fill="FFFFFF"/>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1.703</w:t>
            </w:r>
          </w:p>
        </w:tc>
      </w:tr>
      <w:tr w:rsidR="00FC749F" w:rsidTr="009002E0">
        <w:trPr>
          <w:cantSplit/>
        </w:trPr>
        <w:tc>
          <w:tcPr>
            <w:tcW w:w="2340"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771" w:type="dxa"/>
            <w:tcBorders>
              <w:top w:val="nil"/>
              <w:left w:val="nil"/>
              <w:bottom w:val="single" w:sz="16" w:space="0" w:color="000000"/>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X4</w:t>
            </w:r>
          </w:p>
        </w:tc>
        <w:tc>
          <w:tcPr>
            <w:tcW w:w="1985" w:type="dxa"/>
            <w:tcBorders>
              <w:top w:val="nil"/>
              <w:left w:val="single" w:sz="16" w:space="0" w:color="000000"/>
              <w:bottom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.568</w:t>
            </w:r>
          </w:p>
        </w:tc>
        <w:tc>
          <w:tcPr>
            <w:tcW w:w="1842" w:type="dxa"/>
            <w:tcBorders>
              <w:top w:val="nil"/>
              <w:left w:val="single" w:sz="16" w:space="0" w:color="000000"/>
              <w:bottom w:val="single" w:sz="16" w:space="0" w:color="000000"/>
              <w:right w:val="single" w:sz="16" w:space="0" w:color="000000"/>
            </w:tcBorders>
            <w:shd w:val="clear" w:color="auto" w:fill="FFFFFF"/>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1.737</w:t>
            </w:r>
          </w:p>
        </w:tc>
      </w:tr>
    </w:tbl>
    <w:p w:rsidR="00FC749F" w:rsidRDefault="00FC749F" w:rsidP="00FC749F">
      <w:pPr>
        <w:rPr>
          <w:rFonts w:ascii="Arial" w:hAnsi="Arial" w:cs="Arial"/>
          <w:sz w:val="18"/>
          <w:szCs w:val="18"/>
        </w:rPr>
      </w:pPr>
      <w:r>
        <w:rPr>
          <w:rFonts w:ascii="Arial" w:hAnsi="Arial" w:cs="Arial"/>
          <w:sz w:val="18"/>
          <w:szCs w:val="18"/>
        </w:rPr>
        <w:br w:type="textWrapping" w:clear="all"/>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FC749F" w:rsidTr="009002E0">
        <w:trPr>
          <w:cantSplit/>
        </w:trPr>
        <w:tc>
          <w:tcPr>
            <w:tcW w:w="9360"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a. Dependent Variable: Y</w:t>
            </w:r>
          </w:p>
        </w:tc>
      </w:tr>
    </w:tbl>
    <w:p w:rsidR="00FC749F" w:rsidRDefault="00FC749F" w:rsidP="00FC749F">
      <w:pPr>
        <w:spacing w:line="400" w:lineRule="atLeast"/>
        <w:rPr>
          <w:rFonts w:ascii="Times New Roman" w:hAnsi="Times New Roman" w:cs="Times New Roman"/>
          <w:sz w:val="24"/>
          <w:szCs w:val="24"/>
        </w:rPr>
      </w:pPr>
      <w:r>
        <w:rPr>
          <w:rFonts w:ascii="Times New Roman" w:hAnsi="Times New Roman" w:cs="Times New Roman"/>
          <w:sz w:val="24"/>
          <w:szCs w:val="24"/>
        </w:rPr>
        <w:t xml:space="preserve">Dari tabel uji VIF dan tolerance diketahui bahwa setiap variabel bebas mempunyai nilai VIF lebih kecil dari 10 dan nilai </w:t>
      </w:r>
      <w:r>
        <w:rPr>
          <w:rFonts w:ascii="Times New Roman" w:hAnsi="Times New Roman" w:cs="Times New Roman"/>
          <w:i/>
          <w:sz w:val="24"/>
          <w:szCs w:val="24"/>
        </w:rPr>
        <w:t xml:space="preserve">tolerance </w:t>
      </w:r>
      <w:r>
        <w:rPr>
          <w:rFonts w:ascii="Times New Roman" w:hAnsi="Times New Roman" w:cs="Times New Roman"/>
          <w:sz w:val="24"/>
          <w:szCs w:val="24"/>
        </w:rPr>
        <w:t xml:space="preserve"> lebih besar dari 0,10 sehingga dapat di tarik kesimpulan bahwa model yang dihasilkan terbebas dari gejala multikolinieritas</w:t>
      </w:r>
    </w:p>
    <w:p w:rsidR="00FC749F" w:rsidRDefault="00FC749F" w:rsidP="00FC749F">
      <w:pPr>
        <w:spacing w:line="400" w:lineRule="atLeast"/>
        <w:rPr>
          <w:rFonts w:ascii="Times New Roman" w:hAnsi="Times New Roman" w:cs="Times New Roman"/>
          <w:b/>
          <w:sz w:val="24"/>
          <w:szCs w:val="24"/>
        </w:rPr>
      </w:pPr>
      <w:r>
        <w:rPr>
          <w:rFonts w:ascii="Times New Roman" w:hAnsi="Times New Roman" w:cs="Times New Roman"/>
          <w:b/>
          <w:sz w:val="24"/>
          <w:szCs w:val="24"/>
        </w:rPr>
        <w:t xml:space="preserve"> Uji  Heteroskedastisitas</w:t>
      </w:r>
    </w:p>
    <w:p w:rsidR="00FC749F" w:rsidRDefault="00FC749F" w:rsidP="00FC749F">
      <w:pPr>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4148504" cy="3322792"/>
            <wp:effectExtent l="19050" t="0" r="439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51955" cy="3325556"/>
                    </a:xfrm>
                    <a:prstGeom prst="rect">
                      <a:avLst/>
                    </a:prstGeom>
                    <a:noFill/>
                    <a:ln w="9525">
                      <a:noFill/>
                      <a:miter lim="800000"/>
                      <a:headEnd/>
                      <a:tailEnd/>
                    </a:ln>
                  </pic:spPr>
                </pic:pic>
              </a:graphicData>
            </a:graphic>
          </wp:inline>
        </w:drawing>
      </w:r>
    </w:p>
    <w:p w:rsidR="00FC749F" w:rsidRPr="00620D2B" w:rsidRDefault="00FC749F" w:rsidP="00FC749F">
      <w:pPr>
        <w:jc w:val="both"/>
        <w:rPr>
          <w:rFonts w:ascii="Times New Roman" w:hAnsi="Times New Roman" w:cs="Times New Roman"/>
          <w:sz w:val="24"/>
          <w:szCs w:val="24"/>
        </w:rPr>
      </w:pPr>
      <w:r>
        <w:rPr>
          <w:rFonts w:ascii="Times New Roman" w:hAnsi="Times New Roman" w:cs="Times New Roman"/>
          <w:sz w:val="24"/>
          <w:szCs w:val="24"/>
        </w:rPr>
        <w:tab/>
        <w:t>Dari gambar Scartterplot diatas terlihat titik-titik pada diagram tidak menunjukkan membentuk suatu pola tertentu serta titik-titik menyebar diatas dan dibawah angka 0 pada sumbu Y. Dengan demikian dapat dikatakan bahwa regresi tidak mengalami gangguan heteroskedastisitas.</w:t>
      </w:r>
    </w:p>
    <w:p w:rsidR="00FC749F" w:rsidRDefault="00FC749F" w:rsidP="00FC749F">
      <w:pPr>
        <w:spacing w:after="0" w:line="240" w:lineRule="auto"/>
        <w:jc w:val="both"/>
        <w:rPr>
          <w:rFonts w:asciiTheme="majorBidi" w:hAnsiTheme="majorBidi" w:cstheme="majorBidi"/>
          <w:b/>
          <w:bCs/>
        </w:rPr>
      </w:pPr>
      <w:r>
        <w:rPr>
          <w:rFonts w:asciiTheme="majorBidi" w:hAnsiTheme="majorBidi" w:cstheme="majorBidi"/>
          <w:b/>
          <w:bCs/>
        </w:rPr>
        <w:t>Tabel 4 Koefisien Regresi</w:t>
      </w: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190"/>
        <w:gridCol w:w="1344"/>
        <w:gridCol w:w="1344"/>
        <w:gridCol w:w="1483"/>
        <w:gridCol w:w="1035"/>
        <w:gridCol w:w="1035"/>
        <w:gridCol w:w="1143"/>
      </w:tblGrid>
      <w:tr w:rsidR="00FC749F" w:rsidTr="009002E0">
        <w:trPr>
          <w:cantSplit/>
        </w:trPr>
        <w:tc>
          <w:tcPr>
            <w:tcW w:w="9316" w:type="dxa"/>
            <w:gridSpan w:val="8"/>
            <w:tcBorders>
              <w:top w:val="nil"/>
              <w:left w:val="nil"/>
              <w:bottom w:val="nil"/>
              <w:right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FC749F" w:rsidTr="009002E0">
        <w:trPr>
          <w:gridAfter w:val="1"/>
          <w:wAfter w:w="1143" w:type="dxa"/>
          <w:cantSplit/>
        </w:trPr>
        <w:tc>
          <w:tcPr>
            <w:tcW w:w="1932" w:type="dxa"/>
            <w:gridSpan w:val="2"/>
            <w:vMerge w:val="restart"/>
            <w:tcBorders>
              <w:top w:val="single" w:sz="16" w:space="0" w:color="000000"/>
              <w:left w:val="single" w:sz="16" w:space="0" w:color="000000"/>
              <w:bottom w:val="nil"/>
              <w:right w:val="nil"/>
            </w:tcBorders>
            <w:shd w:val="clear" w:color="auto" w:fill="FFFFFF"/>
            <w:vAlign w:val="bottom"/>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Model</w:t>
            </w:r>
          </w:p>
        </w:tc>
        <w:tc>
          <w:tcPr>
            <w:tcW w:w="2688" w:type="dxa"/>
            <w:gridSpan w:val="2"/>
            <w:tcBorders>
              <w:top w:val="single" w:sz="16" w:space="0" w:color="000000"/>
              <w:left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Unstandardized Coefficients</w:t>
            </w:r>
          </w:p>
        </w:tc>
        <w:tc>
          <w:tcPr>
            <w:tcW w:w="1483" w:type="dxa"/>
            <w:tcBorders>
              <w:top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Standardized Coefficients</w:t>
            </w:r>
          </w:p>
        </w:tc>
        <w:tc>
          <w:tcPr>
            <w:tcW w:w="1035" w:type="dxa"/>
            <w:vMerge w:val="restart"/>
            <w:tcBorders>
              <w:top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t</w:t>
            </w:r>
          </w:p>
        </w:tc>
        <w:tc>
          <w:tcPr>
            <w:tcW w:w="1035" w:type="dxa"/>
            <w:vMerge w:val="restart"/>
            <w:tcBorders>
              <w:top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Sig.</w:t>
            </w:r>
          </w:p>
        </w:tc>
      </w:tr>
      <w:tr w:rsidR="00FC749F" w:rsidTr="009002E0">
        <w:trPr>
          <w:gridAfter w:val="1"/>
          <w:wAfter w:w="1143" w:type="dxa"/>
          <w:cantSplit/>
        </w:trPr>
        <w:tc>
          <w:tcPr>
            <w:tcW w:w="1932" w:type="dxa"/>
            <w:gridSpan w:val="2"/>
            <w:vMerge/>
            <w:tcBorders>
              <w:top w:val="single" w:sz="16" w:space="0" w:color="000000"/>
              <w:left w:val="single" w:sz="16" w:space="0" w:color="000000"/>
              <w:bottom w:val="nil"/>
              <w:right w:val="nil"/>
            </w:tcBorders>
            <w:shd w:val="clear" w:color="auto" w:fill="FFFFFF"/>
            <w:vAlign w:val="bottom"/>
          </w:tcPr>
          <w:p w:rsidR="00FC749F" w:rsidRDefault="00FC749F" w:rsidP="009002E0">
            <w:pPr>
              <w:rPr>
                <w:rFonts w:ascii="Arial" w:hAnsi="Arial" w:cs="Arial"/>
                <w:sz w:val="18"/>
                <w:szCs w:val="18"/>
              </w:rPr>
            </w:pPr>
          </w:p>
        </w:tc>
        <w:tc>
          <w:tcPr>
            <w:tcW w:w="1344" w:type="dxa"/>
            <w:tcBorders>
              <w:left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B</w:t>
            </w:r>
          </w:p>
        </w:tc>
        <w:tc>
          <w:tcPr>
            <w:tcW w:w="1344" w:type="dxa"/>
            <w:tcBorders>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Std. Error</w:t>
            </w:r>
          </w:p>
        </w:tc>
        <w:tc>
          <w:tcPr>
            <w:tcW w:w="1483" w:type="dxa"/>
            <w:tcBorders>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Beta</w:t>
            </w:r>
          </w:p>
        </w:tc>
        <w:tc>
          <w:tcPr>
            <w:tcW w:w="1035" w:type="dxa"/>
            <w:vMerge/>
            <w:tcBorders>
              <w:top w:val="single" w:sz="16" w:space="0" w:color="000000"/>
            </w:tcBorders>
            <w:shd w:val="clear" w:color="auto" w:fill="FFFFFF"/>
            <w:vAlign w:val="bottom"/>
          </w:tcPr>
          <w:p w:rsidR="00FC749F" w:rsidRDefault="00FC749F" w:rsidP="009002E0">
            <w:pPr>
              <w:rPr>
                <w:rFonts w:ascii="Arial" w:hAnsi="Arial" w:cs="Arial"/>
                <w:sz w:val="18"/>
                <w:szCs w:val="18"/>
              </w:rPr>
            </w:pPr>
          </w:p>
        </w:tc>
        <w:tc>
          <w:tcPr>
            <w:tcW w:w="1035" w:type="dxa"/>
            <w:vMerge/>
            <w:tcBorders>
              <w:top w:val="single" w:sz="16" w:space="0" w:color="000000"/>
            </w:tcBorders>
            <w:shd w:val="clear" w:color="auto" w:fill="FFFFFF"/>
            <w:vAlign w:val="bottom"/>
          </w:tcPr>
          <w:p w:rsidR="00FC749F" w:rsidRDefault="00FC749F" w:rsidP="009002E0">
            <w:pPr>
              <w:rPr>
                <w:rFonts w:ascii="Arial" w:hAnsi="Arial" w:cs="Arial"/>
                <w:sz w:val="18"/>
                <w:szCs w:val="18"/>
              </w:rPr>
            </w:pPr>
          </w:p>
        </w:tc>
      </w:tr>
      <w:tr w:rsidR="00FC749F" w:rsidTr="009002E0">
        <w:trPr>
          <w:gridAfter w:val="1"/>
          <w:wAfter w:w="1143" w:type="dxa"/>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1</w:t>
            </w:r>
          </w:p>
        </w:tc>
        <w:tc>
          <w:tcPr>
            <w:tcW w:w="1190" w:type="dxa"/>
            <w:tcBorders>
              <w:top w:val="single" w:sz="16" w:space="0" w:color="000000"/>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(Constant)</w:t>
            </w:r>
          </w:p>
        </w:tc>
        <w:tc>
          <w:tcPr>
            <w:tcW w:w="1344" w:type="dxa"/>
            <w:tcBorders>
              <w:top w:val="single" w:sz="16" w:space="0" w:color="000000"/>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9.546</w:t>
            </w:r>
          </w:p>
        </w:tc>
        <w:tc>
          <w:tcPr>
            <w:tcW w:w="1344"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5.081</w:t>
            </w:r>
          </w:p>
        </w:tc>
        <w:tc>
          <w:tcPr>
            <w:tcW w:w="1483" w:type="dxa"/>
            <w:tcBorders>
              <w:top w:val="single" w:sz="16" w:space="0" w:color="000000"/>
              <w:bottom w:val="nil"/>
            </w:tcBorders>
            <w:shd w:val="clear" w:color="auto" w:fill="FFFFFF"/>
            <w:vAlign w:val="center"/>
          </w:tcPr>
          <w:p w:rsidR="00FC749F" w:rsidRDefault="00FC749F" w:rsidP="009002E0">
            <w:pPr>
              <w:rPr>
                <w:rFonts w:ascii="Times New Roman" w:hAnsi="Times New Roman" w:cs="Times New Roman"/>
                <w:sz w:val="24"/>
                <w:szCs w:val="24"/>
              </w:rPr>
            </w:pPr>
          </w:p>
        </w:tc>
        <w:tc>
          <w:tcPr>
            <w:tcW w:w="1035"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2.879</w:t>
            </w:r>
          </w:p>
        </w:tc>
        <w:tc>
          <w:tcPr>
            <w:tcW w:w="1035" w:type="dxa"/>
            <w:tcBorders>
              <w:top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.119</w:t>
            </w:r>
          </w:p>
        </w:tc>
      </w:tr>
      <w:tr w:rsidR="00FC749F" w:rsidTr="009002E0">
        <w:trPr>
          <w:gridAfter w:val="1"/>
          <w:wAfter w:w="1143" w:type="dxa"/>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Times New Roman" w:hAnsi="Times New Roman" w:cs="Times New Roman"/>
                <w:sz w:val="24"/>
                <w:szCs w:val="24"/>
              </w:rPr>
            </w:pPr>
          </w:p>
        </w:tc>
        <w:tc>
          <w:tcPr>
            <w:tcW w:w="1190" w:type="dxa"/>
            <w:tcBorders>
              <w:top w:val="nil"/>
              <w:left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X1</w:t>
            </w:r>
          </w:p>
        </w:tc>
        <w:tc>
          <w:tcPr>
            <w:tcW w:w="1344" w:type="dxa"/>
            <w:tcBorders>
              <w:top w:val="nil"/>
              <w:lef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.000</w:t>
            </w:r>
          </w:p>
        </w:tc>
        <w:tc>
          <w:tcPr>
            <w:tcW w:w="1344" w:type="dxa"/>
            <w:tcBorders>
              <w:top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.001</w:t>
            </w:r>
          </w:p>
        </w:tc>
        <w:tc>
          <w:tcPr>
            <w:tcW w:w="1483" w:type="dxa"/>
            <w:tcBorders>
              <w:top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-.269</w:t>
            </w:r>
          </w:p>
        </w:tc>
        <w:tc>
          <w:tcPr>
            <w:tcW w:w="1035" w:type="dxa"/>
            <w:tcBorders>
              <w:top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2.585</w:t>
            </w:r>
          </w:p>
        </w:tc>
        <w:tc>
          <w:tcPr>
            <w:tcW w:w="1035" w:type="dxa"/>
            <w:tcBorders>
              <w:top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.648</w:t>
            </w:r>
          </w:p>
        </w:tc>
      </w:tr>
      <w:tr w:rsidR="00FC749F" w:rsidTr="009002E0">
        <w:trPr>
          <w:gridAfter w:val="1"/>
          <w:wAfter w:w="1143" w:type="dxa"/>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190"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X2</w:t>
            </w:r>
          </w:p>
        </w:tc>
        <w:tc>
          <w:tcPr>
            <w:tcW w:w="1344"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.002</w:t>
            </w:r>
          </w:p>
        </w:tc>
        <w:tc>
          <w:tcPr>
            <w:tcW w:w="134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.003</w:t>
            </w:r>
          </w:p>
        </w:tc>
        <w:tc>
          <w:tcPr>
            <w:tcW w:w="1483"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.440</w:t>
            </w:r>
          </w:p>
        </w:tc>
        <w:tc>
          <w:tcPr>
            <w:tcW w:w="103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2.659</w:t>
            </w:r>
          </w:p>
        </w:tc>
        <w:tc>
          <w:tcPr>
            <w:tcW w:w="103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.482</w:t>
            </w:r>
          </w:p>
        </w:tc>
      </w:tr>
      <w:tr w:rsidR="00FC749F" w:rsidTr="009002E0">
        <w:trPr>
          <w:gridAfter w:val="1"/>
          <w:wAfter w:w="1143" w:type="dxa"/>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190"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X3</w:t>
            </w:r>
          </w:p>
        </w:tc>
        <w:tc>
          <w:tcPr>
            <w:tcW w:w="1344"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-.013</w:t>
            </w:r>
          </w:p>
        </w:tc>
        <w:tc>
          <w:tcPr>
            <w:tcW w:w="1344"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.013</w:t>
            </w:r>
          </w:p>
        </w:tc>
        <w:tc>
          <w:tcPr>
            <w:tcW w:w="1483"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-.505</w:t>
            </w:r>
          </w:p>
        </w:tc>
        <w:tc>
          <w:tcPr>
            <w:tcW w:w="103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-1.012</w:t>
            </w:r>
          </w:p>
        </w:tc>
        <w:tc>
          <w:tcPr>
            <w:tcW w:w="1035" w:type="dxa"/>
            <w:tcBorders>
              <w:top w:val="nil"/>
              <w:bottom w:val="nil"/>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.358</w:t>
            </w:r>
          </w:p>
        </w:tc>
      </w:tr>
      <w:tr w:rsidR="00FC749F" w:rsidTr="009002E0">
        <w:trPr>
          <w:gridAfter w:val="1"/>
          <w:wAfter w:w="1143" w:type="dxa"/>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rPr>
                <w:rFonts w:ascii="Arial" w:hAnsi="Arial" w:cs="Arial"/>
                <w:sz w:val="18"/>
                <w:szCs w:val="18"/>
              </w:rPr>
            </w:pPr>
          </w:p>
        </w:tc>
        <w:tc>
          <w:tcPr>
            <w:tcW w:w="1190" w:type="dxa"/>
            <w:tcBorders>
              <w:top w:val="nil"/>
              <w:left w:val="nil"/>
              <w:bottom w:val="single" w:sz="16" w:space="0" w:color="000000"/>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X4</w:t>
            </w:r>
          </w:p>
        </w:tc>
        <w:tc>
          <w:tcPr>
            <w:tcW w:w="1344" w:type="dxa"/>
            <w:tcBorders>
              <w:top w:val="nil"/>
              <w:left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.006</w:t>
            </w:r>
          </w:p>
        </w:tc>
        <w:tc>
          <w:tcPr>
            <w:tcW w:w="1344" w:type="dxa"/>
            <w:tcBorders>
              <w:top w:val="nil"/>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.010</w:t>
            </w:r>
          </w:p>
        </w:tc>
        <w:tc>
          <w:tcPr>
            <w:tcW w:w="1483" w:type="dxa"/>
            <w:tcBorders>
              <w:top w:val="nil"/>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.307</w:t>
            </w:r>
          </w:p>
        </w:tc>
        <w:tc>
          <w:tcPr>
            <w:tcW w:w="1035" w:type="dxa"/>
            <w:tcBorders>
              <w:top w:val="nil"/>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2.610</w:t>
            </w:r>
          </w:p>
        </w:tc>
        <w:tc>
          <w:tcPr>
            <w:tcW w:w="1035" w:type="dxa"/>
            <w:tcBorders>
              <w:top w:val="nil"/>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.568</w:t>
            </w:r>
          </w:p>
        </w:tc>
      </w:tr>
    </w:tbl>
    <w:p w:rsidR="00FC749F" w:rsidRDefault="00FC749F" w:rsidP="00FC749F">
      <w:pPr>
        <w:spacing w:before="240" w:after="0" w:line="240" w:lineRule="auto"/>
        <w:jc w:val="both"/>
        <w:rPr>
          <w:rFonts w:ascii="Times New Roman" w:hAnsi="Times New Roman" w:cs="Times New Roman"/>
          <w:sz w:val="24"/>
          <w:szCs w:val="24"/>
        </w:rPr>
      </w:pPr>
      <w:r w:rsidRPr="006A3726">
        <w:rPr>
          <w:rFonts w:ascii="Times New Roman" w:hAnsi="Times New Roman" w:cs="Times New Roman"/>
          <w:sz w:val="24"/>
          <w:szCs w:val="24"/>
        </w:rPr>
        <w:t>Dari hasil uji t diatas dapat di ambil kesimpulan seb</w:t>
      </w:r>
      <w:r w:rsidRPr="006A3726">
        <w:rPr>
          <w:rFonts w:ascii="Times New Roman" w:hAnsi="Times New Roman" w:cs="Times New Roman"/>
          <w:sz w:val="24"/>
          <w:szCs w:val="24"/>
        </w:rPr>
        <w:tab/>
      </w:r>
      <w:r>
        <w:rPr>
          <w:rFonts w:ascii="Times New Roman" w:hAnsi="Times New Roman" w:cs="Times New Roman"/>
          <w:sz w:val="24"/>
          <w:szCs w:val="24"/>
        </w:rPr>
        <w:t>agai berikut:</w:t>
      </w:r>
    </w:p>
    <w:p w:rsidR="00FC749F" w:rsidRDefault="00FC749F" w:rsidP="00FC749F">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Pendapatan premi (X1) dengan hasil uji t di peroleh nilai t</w:t>
      </w:r>
      <w:r>
        <w:rPr>
          <w:rFonts w:ascii="Times New Roman" w:hAnsi="Times New Roman" w:cs="Times New Roman"/>
          <w:sz w:val="14"/>
          <w:szCs w:val="24"/>
        </w:rPr>
        <w:t>hitung</w:t>
      </w:r>
      <w:r>
        <w:rPr>
          <w:rFonts w:ascii="Times New Roman" w:hAnsi="Times New Roman" w:cs="Times New Roman"/>
          <w:sz w:val="24"/>
          <w:szCs w:val="24"/>
        </w:rPr>
        <w:t>&gt;t</w:t>
      </w:r>
      <w:r>
        <w:rPr>
          <w:rFonts w:ascii="Times New Roman" w:hAnsi="Times New Roman" w:cs="Times New Roman"/>
          <w:sz w:val="14"/>
          <w:szCs w:val="24"/>
        </w:rPr>
        <w:t>tabel</w:t>
      </w:r>
      <w:r>
        <w:rPr>
          <w:rFonts w:ascii="Times New Roman" w:hAnsi="Times New Roman" w:cs="Times New Roman"/>
          <w:sz w:val="24"/>
          <w:szCs w:val="24"/>
        </w:rPr>
        <w:t xml:space="preserve"> 2,585&lt;2,571 dengan nilai signifikan 0,648&gt;0,05 artinya variabel pendapatan premi berpengaruh dan signifikan terhadap kinerja keuangan.</w:t>
      </w:r>
    </w:p>
    <w:p w:rsidR="00FC749F" w:rsidRDefault="00FC749F" w:rsidP="00FC749F">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i/>
          <w:sz w:val="24"/>
          <w:szCs w:val="24"/>
        </w:rPr>
        <w:t xml:space="preserve">Underwriting </w:t>
      </w:r>
      <w:r>
        <w:rPr>
          <w:rFonts w:ascii="Times New Roman" w:hAnsi="Times New Roman" w:cs="Times New Roman"/>
          <w:sz w:val="24"/>
          <w:szCs w:val="24"/>
        </w:rPr>
        <w:t>(X2) dari hasil uji t berpengaruh terhadap kinerja keuangan ,hal itu di buktikan bahwa t</w:t>
      </w:r>
      <w:r>
        <w:rPr>
          <w:rFonts w:ascii="Times New Roman" w:hAnsi="Times New Roman" w:cs="Times New Roman"/>
          <w:sz w:val="14"/>
          <w:szCs w:val="24"/>
        </w:rPr>
        <w:t>hitung</w:t>
      </w:r>
      <w:r>
        <w:rPr>
          <w:rFonts w:ascii="Times New Roman" w:hAnsi="Times New Roman" w:cs="Times New Roman"/>
          <w:sz w:val="24"/>
          <w:szCs w:val="24"/>
        </w:rPr>
        <w:t>&gt;t</w:t>
      </w:r>
      <w:r>
        <w:rPr>
          <w:rFonts w:ascii="Times New Roman" w:hAnsi="Times New Roman" w:cs="Times New Roman"/>
          <w:sz w:val="14"/>
          <w:szCs w:val="24"/>
        </w:rPr>
        <w:t xml:space="preserve">tabel </w:t>
      </w:r>
      <w:r>
        <w:rPr>
          <w:rFonts w:ascii="Times New Roman" w:hAnsi="Times New Roman" w:cs="Times New Roman"/>
          <w:sz w:val="24"/>
          <w:szCs w:val="24"/>
        </w:rPr>
        <w:t xml:space="preserve">2,659&gt;2,571 dengan nilai  signifikan 0&gt;0,05 yang artinya hasil </w:t>
      </w:r>
      <w:r>
        <w:rPr>
          <w:rFonts w:ascii="Times New Roman" w:hAnsi="Times New Roman" w:cs="Times New Roman"/>
          <w:i/>
          <w:sz w:val="24"/>
          <w:szCs w:val="24"/>
        </w:rPr>
        <w:t xml:space="preserve">underwriting </w:t>
      </w:r>
      <w:r>
        <w:rPr>
          <w:rFonts w:ascii="Times New Roman" w:hAnsi="Times New Roman" w:cs="Times New Roman"/>
          <w:sz w:val="24"/>
          <w:szCs w:val="24"/>
        </w:rPr>
        <w:t xml:space="preserve"> berpengaruh dan signifikan terhadap kinerja keuangan.</w:t>
      </w:r>
    </w:p>
    <w:p w:rsidR="00FC749F" w:rsidRDefault="00FC749F" w:rsidP="00FC749F">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Risk Based Capital </w:t>
      </w:r>
      <w:r>
        <w:rPr>
          <w:rFonts w:ascii="Times New Roman" w:hAnsi="Times New Roman" w:cs="Times New Roman"/>
          <w:sz w:val="24"/>
          <w:szCs w:val="24"/>
        </w:rPr>
        <w:t>(RBC) (X3) dari hasil uji t tidak berpengaruh terhadap kinerja keuangan hal itu di buktikan bahwa t</w:t>
      </w:r>
      <w:r>
        <w:rPr>
          <w:rFonts w:ascii="Times New Roman" w:hAnsi="Times New Roman" w:cs="Times New Roman"/>
          <w:sz w:val="14"/>
          <w:szCs w:val="24"/>
        </w:rPr>
        <w:t>hitung</w:t>
      </w:r>
      <w:r>
        <w:rPr>
          <w:rFonts w:ascii="Times New Roman" w:hAnsi="Times New Roman" w:cs="Times New Roman"/>
          <w:sz w:val="24"/>
          <w:szCs w:val="24"/>
        </w:rPr>
        <w:t>&gt;t</w:t>
      </w:r>
      <w:r>
        <w:rPr>
          <w:rFonts w:ascii="Times New Roman" w:hAnsi="Times New Roman" w:cs="Times New Roman"/>
          <w:sz w:val="14"/>
          <w:szCs w:val="24"/>
        </w:rPr>
        <w:t>tabel</w:t>
      </w:r>
      <w:r>
        <w:rPr>
          <w:rFonts w:ascii="Times New Roman" w:hAnsi="Times New Roman" w:cs="Times New Roman"/>
          <w:sz w:val="24"/>
          <w:szCs w:val="24"/>
        </w:rPr>
        <w:t xml:space="preserve"> -1,012&lt;2,571 dengan nilai signifikan 0,358&gt;0,05.</w:t>
      </w:r>
    </w:p>
    <w:p w:rsidR="00FC749F" w:rsidRDefault="00FC749F" w:rsidP="00FC749F">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Rasio Kecukupan Investasi dari hasil uji t berpengaruh terhadap kinerja keuangan hal itu dibuktikan dengan t</w:t>
      </w:r>
      <w:r>
        <w:rPr>
          <w:rFonts w:ascii="Times New Roman" w:hAnsi="Times New Roman" w:cs="Times New Roman"/>
          <w:sz w:val="14"/>
          <w:szCs w:val="24"/>
        </w:rPr>
        <w:t>hitung</w:t>
      </w:r>
      <w:r>
        <w:rPr>
          <w:rFonts w:ascii="Times New Roman" w:hAnsi="Times New Roman" w:cs="Times New Roman"/>
          <w:sz w:val="24"/>
          <w:szCs w:val="24"/>
        </w:rPr>
        <w:t>&gt;t</w:t>
      </w:r>
      <w:r>
        <w:rPr>
          <w:rFonts w:ascii="Times New Roman" w:hAnsi="Times New Roman" w:cs="Times New Roman"/>
          <w:sz w:val="14"/>
          <w:szCs w:val="24"/>
        </w:rPr>
        <w:t xml:space="preserve">tabel </w:t>
      </w:r>
      <w:r>
        <w:rPr>
          <w:rFonts w:ascii="Times New Roman" w:hAnsi="Times New Roman" w:cs="Times New Roman"/>
          <w:sz w:val="24"/>
          <w:szCs w:val="24"/>
        </w:rPr>
        <w:t>2,610&gt;2,571 dengan nilai signifikan 0,568&gt;0,05.</w:t>
      </w:r>
    </w:p>
    <w:p w:rsidR="00FC749F" w:rsidRDefault="00FC749F" w:rsidP="00FC749F">
      <w:pPr>
        <w:pStyle w:val="ListParagraph"/>
        <w:spacing w:before="240" w:after="0" w:line="240" w:lineRule="auto"/>
        <w:ind w:left="0"/>
        <w:jc w:val="both"/>
        <w:rPr>
          <w:rFonts w:ascii="Times New Roman" w:hAnsi="Times New Roman" w:cs="Times New Roman"/>
          <w:bCs/>
          <w:sz w:val="24"/>
          <w:szCs w:val="24"/>
        </w:rPr>
      </w:pPr>
      <w:r w:rsidRPr="00415E5B">
        <w:rPr>
          <w:rFonts w:ascii="Times New Roman" w:hAnsi="Times New Roman" w:cs="Times New Roman"/>
          <w:bCs/>
          <w:sz w:val="24"/>
          <w:szCs w:val="24"/>
        </w:rPr>
        <w:t>Pada hasil  persamaan regresi ini, β</w:t>
      </w:r>
      <w:r w:rsidRPr="00415E5B">
        <w:rPr>
          <w:rFonts w:ascii="Times New Roman" w:hAnsi="Times New Roman" w:cs="Times New Roman"/>
          <w:bCs/>
          <w:sz w:val="24"/>
          <w:szCs w:val="24"/>
          <w:vertAlign w:val="subscript"/>
        </w:rPr>
        <w:t>0</w:t>
      </w:r>
      <w:r w:rsidRPr="00415E5B">
        <w:rPr>
          <w:rFonts w:ascii="Times New Roman" w:hAnsi="Times New Roman" w:cs="Times New Roman"/>
          <w:bCs/>
          <w:sz w:val="24"/>
          <w:szCs w:val="24"/>
        </w:rPr>
        <w:t xml:space="preserve"> dilambangkan oleh </w:t>
      </w:r>
      <w:r w:rsidRPr="00415E5B">
        <w:rPr>
          <w:rFonts w:ascii="Times New Roman" w:hAnsi="Times New Roman" w:cs="Times New Roman"/>
          <w:bCs/>
          <w:i/>
          <w:sz w:val="24"/>
          <w:szCs w:val="24"/>
        </w:rPr>
        <w:t>contstant.</w:t>
      </w:r>
      <w:r w:rsidRPr="00415E5B">
        <w:rPr>
          <w:rFonts w:ascii="Times New Roman" w:hAnsi="Times New Roman" w:cs="Times New Roman"/>
          <w:bCs/>
          <w:sz w:val="24"/>
          <w:szCs w:val="24"/>
        </w:rPr>
        <w:t xml:space="preserve"> Dan kolom kedua </w:t>
      </w:r>
      <w:r w:rsidRPr="00415E5B">
        <w:rPr>
          <w:rFonts w:ascii="Times New Roman" w:hAnsi="Times New Roman" w:cs="Times New Roman"/>
          <w:bCs/>
          <w:i/>
          <w:sz w:val="24"/>
          <w:szCs w:val="24"/>
        </w:rPr>
        <w:t xml:space="preserve">(Coefficient) </w:t>
      </w:r>
      <w:r w:rsidRPr="00415E5B">
        <w:rPr>
          <w:rFonts w:ascii="Times New Roman" w:hAnsi="Times New Roman" w:cs="Times New Roman"/>
          <w:bCs/>
          <w:sz w:val="24"/>
          <w:szCs w:val="24"/>
        </w:rPr>
        <w:t>, berisikan nilai koefisien (β) masing-masing variabel dalam persamaan regresi. Berdasarkan hasil ouput didapatkan persamaan regresi yang terbentuk adalah :</w:t>
      </w:r>
    </w:p>
    <w:p w:rsidR="00FC749F" w:rsidRPr="00415E5B" w:rsidRDefault="00FC749F" w:rsidP="00FC749F">
      <w:pPr>
        <w:pStyle w:val="ListParagraph"/>
        <w:spacing w:before="240" w:after="0" w:line="240" w:lineRule="auto"/>
        <w:jc w:val="both"/>
        <w:rPr>
          <w:rFonts w:ascii="Times New Roman" w:hAnsi="Times New Roman" w:cs="Times New Roman"/>
          <w:sz w:val="24"/>
          <w:szCs w:val="24"/>
        </w:rPr>
      </w:pPr>
      <w:r>
        <w:rPr>
          <w:rFonts w:ascii="Times New Roman" w:hAnsi="Times New Roman" w:cs="Times New Roman"/>
          <w:bCs/>
          <w:sz w:val="24"/>
          <w:szCs w:val="24"/>
        </w:rPr>
        <w:t>Y = 9.546+0.000X1 + 0.002X2 – 0.013X3 + 0.006X4</w:t>
      </w:r>
    </w:p>
    <w:p w:rsidR="00FC749F" w:rsidRDefault="00FC749F" w:rsidP="00FC749F">
      <w:pPr>
        <w:spacing w:after="0" w:line="240" w:lineRule="auto"/>
        <w:jc w:val="both"/>
        <w:rPr>
          <w:rFonts w:asciiTheme="majorBidi" w:hAnsiTheme="majorBidi" w:cstheme="majorBidi"/>
          <w:b/>
          <w:bCs/>
        </w:rPr>
      </w:pPr>
    </w:p>
    <w:p w:rsidR="00FC749F" w:rsidRPr="00D85916" w:rsidRDefault="00FC749F" w:rsidP="00FC749F">
      <w:pPr>
        <w:spacing w:after="0" w:line="240" w:lineRule="auto"/>
        <w:jc w:val="both"/>
        <w:rPr>
          <w:rFonts w:asciiTheme="majorBidi" w:hAnsiTheme="majorBidi" w:cstheme="majorBidi"/>
          <w:b/>
          <w:bCs/>
        </w:rPr>
      </w:pPr>
      <w:r>
        <w:rPr>
          <w:rFonts w:asciiTheme="majorBidi" w:hAnsiTheme="majorBidi" w:cstheme="majorBidi"/>
          <w:b/>
          <w:bCs/>
        </w:rPr>
        <w:t xml:space="preserve">Tabel 5 </w:t>
      </w:r>
      <w:r w:rsidRPr="00D85916">
        <w:rPr>
          <w:rFonts w:asciiTheme="majorBidi" w:hAnsiTheme="majorBidi" w:cstheme="majorBidi"/>
          <w:b/>
          <w:bCs/>
        </w:rPr>
        <w:t xml:space="preserve"> Koefisien Determinasi</w:t>
      </w:r>
      <w:r>
        <w:rPr>
          <w:rFonts w:asciiTheme="majorBidi" w:hAnsiTheme="majorBidi" w:cstheme="majorBidi"/>
          <w:b/>
          <w:bCs/>
        </w:rPr>
        <w:t xml:space="preserve"> (R²)</w:t>
      </w:r>
    </w:p>
    <w:tbl>
      <w:tblPr>
        <w:tblpPr w:leftFromText="180" w:rightFromText="180" w:vertAnchor="text" w:tblpY="1"/>
        <w:tblOverlap w:val="neve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87"/>
      </w:tblGrid>
      <w:tr w:rsidR="00FC749F" w:rsidTr="009002E0">
        <w:trPr>
          <w:cantSplit/>
        </w:trPr>
        <w:tc>
          <w:tcPr>
            <w:tcW w:w="7399" w:type="dxa"/>
            <w:gridSpan w:val="6"/>
            <w:tcBorders>
              <w:top w:val="nil"/>
              <w:left w:val="nil"/>
              <w:bottom w:val="nil"/>
              <w:right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b/>
                <w:bCs/>
                <w:sz w:val="18"/>
                <w:szCs w:val="18"/>
              </w:rPr>
              <w:t>Model Summary</w:t>
            </w:r>
            <w:r>
              <w:rPr>
                <w:rFonts w:ascii="Arial" w:hAnsi="Arial" w:cs="Arial"/>
                <w:b/>
                <w:bCs/>
                <w:sz w:val="18"/>
                <w:szCs w:val="18"/>
                <w:vertAlign w:val="superscript"/>
              </w:rPr>
              <w:t>b</w:t>
            </w:r>
          </w:p>
        </w:tc>
      </w:tr>
      <w:tr w:rsidR="00FC749F" w:rsidTr="009002E0">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Model</w:t>
            </w:r>
          </w:p>
        </w:tc>
        <w:tc>
          <w:tcPr>
            <w:tcW w:w="1037" w:type="dxa"/>
            <w:tcBorders>
              <w:top w:val="single" w:sz="16" w:space="0" w:color="000000"/>
              <w:left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R</w:t>
            </w:r>
          </w:p>
        </w:tc>
        <w:tc>
          <w:tcPr>
            <w:tcW w:w="1099"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R Square</w:t>
            </w:r>
          </w:p>
        </w:tc>
        <w:tc>
          <w:tcPr>
            <w:tcW w:w="1486"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Adjusted R Square</w:t>
            </w:r>
          </w:p>
        </w:tc>
        <w:tc>
          <w:tcPr>
            <w:tcW w:w="1486"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Std. Error of the Estimate</w:t>
            </w:r>
          </w:p>
        </w:tc>
        <w:tc>
          <w:tcPr>
            <w:tcW w:w="1486" w:type="dxa"/>
            <w:tcBorders>
              <w:top w:val="single" w:sz="16" w:space="0" w:color="000000"/>
              <w:bottom w:val="single" w:sz="16" w:space="0" w:color="000000"/>
              <w:right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Durbin-Watson</w:t>
            </w:r>
          </w:p>
        </w:tc>
      </w:tr>
      <w:tr w:rsidR="00FC749F" w:rsidTr="009002E0">
        <w:trPr>
          <w:cantSplit/>
        </w:trPr>
        <w:tc>
          <w:tcPr>
            <w:tcW w:w="805" w:type="dxa"/>
            <w:tcBorders>
              <w:top w:val="single" w:sz="16" w:space="0" w:color="000000"/>
              <w:left w:val="single" w:sz="16" w:space="0" w:color="000000"/>
              <w:bottom w:val="single" w:sz="16" w:space="0" w:color="000000"/>
              <w:right w:val="single" w:sz="16" w:space="0" w:color="000000"/>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1</w:t>
            </w:r>
          </w:p>
        </w:tc>
        <w:tc>
          <w:tcPr>
            <w:tcW w:w="1037" w:type="dxa"/>
            <w:tcBorders>
              <w:top w:val="single" w:sz="16" w:space="0" w:color="000000"/>
              <w:left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.520</w:t>
            </w:r>
            <w:r>
              <w:rPr>
                <w:rFonts w:ascii="Arial" w:hAnsi="Arial" w:cs="Arial"/>
                <w:sz w:val="18"/>
                <w:szCs w:val="18"/>
                <w:vertAlign w:val="superscript"/>
              </w:rPr>
              <w:t>a</w:t>
            </w:r>
          </w:p>
        </w:tc>
        <w:tc>
          <w:tcPr>
            <w:tcW w:w="1099" w:type="dxa"/>
            <w:tcBorders>
              <w:top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.270</w:t>
            </w:r>
          </w:p>
        </w:tc>
        <w:tc>
          <w:tcPr>
            <w:tcW w:w="1486" w:type="dxa"/>
            <w:tcBorders>
              <w:top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-.313</w:t>
            </w:r>
          </w:p>
        </w:tc>
        <w:tc>
          <w:tcPr>
            <w:tcW w:w="1486" w:type="dxa"/>
            <w:tcBorders>
              <w:top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5.71330</w:t>
            </w:r>
          </w:p>
        </w:tc>
        <w:tc>
          <w:tcPr>
            <w:tcW w:w="1486" w:type="dxa"/>
            <w:tcBorders>
              <w:top w:val="single" w:sz="16" w:space="0" w:color="000000"/>
              <w:bottom w:val="single" w:sz="16" w:space="0" w:color="000000"/>
              <w:right w:val="single" w:sz="16" w:space="0" w:color="000000"/>
            </w:tcBorders>
            <w:shd w:val="clear" w:color="auto" w:fill="FFFFFF"/>
            <w:vAlign w:val="center"/>
          </w:tcPr>
          <w:p w:rsidR="00FC749F" w:rsidRDefault="00FC749F" w:rsidP="009002E0">
            <w:pPr>
              <w:spacing w:line="320" w:lineRule="atLeast"/>
              <w:ind w:left="60" w:right="60"/>
              <w:jc w:val="right"/>
              <w:rPr>
                <w:rFonts w:ascii="Arial" w:hAnsi="Arial" w:cs="Arial"/>
                <w:sz w:val="18"/>
                <w:szCs w:val="18"/>
              </w:rPr>
            </w:pPr>
            <w:r>
              <w:rPr>
                <w:rFonts w:ascii="Arial" w:hAnsi="Arial" w:cs="Arial"/>
                <w:sz w:val="18"/>
                <w:szCs w:val="18"/>
              </w:rPr>
              <w:t>2.416</w:t>
            </w:r>
          </w:p>
        </w:tc>
      </w:tr>
    </w:tbl>
    <w:p w:rsidR="00FC749F" w:rsidRDefault="00FC749F" w:rsidP="00FC749F">
      <w:pPr>
        <w:rPr>
          <w:rFonts w:ascii="Arial" w:hAnsi="Arial" w:cs="Arial"/>
          <w:sz w:val="18"/>
          <w:szCs w:val="18"/>
        </w:rPr>
      </w:pPr>
      <w:r>
        <w:rPr>
          <w:rFonts w:ascii="Arial" w:hAnsi="Arial" w:cs="Arial"/>
          <w:sz w:val="18"/>
          <w:szCs w:val="18"/>
        </w:rPr>
        <w:br w:type="textWrapping" w:clear="all"/>
      </w: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3"/>
      </w:tblGrid>
      <w:tr w:rsidR="00FC749F" w:rsidTr="009002E0">
        <w:trPr>
          <w:cantSplit/>
        </w:trPr>
        <w:tc>
          <w:tcPr>
            <w:tcW w:w="7399"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a. Predictors: (Constant), X4, X1, X3, X2</w:t>
            </w:r>
          </w:p>
        </w:tc>
      </w:tr>
      <w:tr w:rsidR="00FC749F" w:rsidTr="009002E0">
        <w:trPr>
          <w:cantSplit/>
        </w:trPr>
        <w:tc>
          <w:tcPr>
            <w:tcW w:w="7399"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b. Dependent Variable: Y</w:t>
            </w:r>
          </w:p>
        </w:tc>
      </w:tr>
    </w:tbl>
    <w:p w:rsidR="00FC749F" w:rsidRDefault="00FC749F" w:rsidP="00FC749F">
      <w:pPr>
        <w:spacing w:line="276" w:lineRule="auto"/>
        <w:rPr>
          <w:rFonts w:ascii="Times New Roman" w:hAnsi="Times New Roman" w:cs="Times New Roman"/>
          <w:sz w:val="24"/>
          <w:szCs w:val="24"/>
        </w:rPr>
      </w:pPr>
      <w:r>
        <w:rPr>
          <w:rFonts w:ascii="Times New Roman" w:hAnsi="Times New Roman" w:cs="Times New Roman"/>
          <w:sz w:val="24"/>
          <w:szCs w:val="24"/>
        </w:rPr>
        <w:tab/>
        <w:t>Berdasarkan tabel diatas dapat diketahui bahwa nilai koefisien determinasi sebesar 0,270 artinya hal ini menunjukkan semua variabel bebas secara bersama-sama memberikan sumbangan terhadap Kinerja Keuangan (Y) sebesar 27%, dan sisanya (73% ) dan faktor-faktor lain yang mempengaruhi selain variabel bebas yang digunakan pada penelitian ini.</w:t>
      </w:r>
    </w:p>
    <w:p w:rsidR="00FC749F" w:rsidRDefault="00FC749F" w:rsidP="00FC749F">
      <w:pPr>
        <w:spacing w:line="240" w:lineRule="auto"/>
        <w:rPr>
          <w:rFonts w:ascii="Times New Roman" w:hAnsi="Times New Roman" w:cs="Times New Roman"/>
          <w:sz w:val="24"/>
          <w:szCs w:val="24"/>
        </w:rPr>
      </w:pPr>
      <w:r>
        <w:rPr>
          <w:rFonts w:asciiTheme="majorBidi" w:hAnsiTheme="majorBidi" w:cstheme="majorBidi"/>
          <w:b/>
          <w:bCs/>
        </w:rPr>
        <w:t>Tabel  6 Uji Pengaruh Simultan (F test)</w:t>
      </w:r>
    </w:p>
    <w:p w:rsidR="00FC749F" w:rsidRPr="00620D2B" w:rsidRDefault="00FC749F" w:rsidP="00FC749F">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heme="majorBidi" w:hAnsiTheme="majorBidi" w:cstheme="majorBidi"/>
          <w:bCs/>
        </w:rPr>
        <w:t>Uji f digunakan untuk mengetahui pengaruh seluruh variable independent secara Bersama sama terhadap variabel tarif signifikan 5% atau 0.05 jika F</w:t>
      </w:r>
      <w:r w:rsidRPr="00D85916">
        <w:rPr>
          <w:rFonts w:asciiTheme="majorBidi" w:hAnsiTheme="majorBidi" w:cstheme="majorBidi"/>
          <w:bCs/>
          <w:sz w:val="14"/>
        </w:rPr>
        <w:t>hitung</w:t>
      </w:r>
      <w:r>
        <w:rPr>
          <w:rFonts w:asciiTheme="majorBidi" w:hAnsiTheme="majorBidi" w:cstheme="majorBidi"/>
          <w:bCs/>
          <w:sz w:val="24"/>
          <w:szCs w:val="24"/>
        </w:rPr>
        <w:t>&gt;F</w:t>
      </w:r>
      <w:r w:rsidRPr="00D85916">
        <w:rPr>
          <w:rFonts w:asciiTheme="majorBidi" w:hAnsiTheme="majorBidi" w:cstheme="majorBidi"/>
          <w:bCs/>
          <w:sz w:val="18"/>
          <w:szCs w:val="24"/>
        </w:rPr>
        <w:t>t</w:t>
      </w:r>
      <w:r w:rsidRPr="00D85916">
        <w:rPr>
          <w:rFonts w:asciiTheme="majorBidi" w:hAnsiTheme="majorBidi" w:cstheme="majorBidi"/>
          <w:bCs/>
          <w:sz w:val="14"/>
          <w:szCs w:val="24"/>
        </w:rPr>
        <w:t>abel</w:t>
      </w:r>
      <w:r>
        <w:rPr>
          <w:rFonts w:ascii="Times New Roman" w:hAnsi="Times New Roman" w:cs="Times New Roman"/>
          <w:bCs/>
          <w:sz w:val="24"/>
          <w:szCs w:val="24"/>
        </w:rPr>
        <w:t xml:space="preserve"> jadi variabel berpengaruh secara bersama berdasarkan hasil uji F di tampilkan dibawah ini </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FC749F" w:rsidTr="009002E0">
        <w:trPr>
          <w:cantSplit/>
        </w:trPr>
        <w:tc>
          <w:tcPr>
            <w:tcW w:w="8057" w:type="dxa"/>
            <w:gridSpan w:val="7"/>
            <w:tcBorders>
              <w:top w:val="nil"/>
              <w:left w:val="nil"/>
              <w:bottom w:val="nil"/>
              <w:right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b/>
                <w:bCs/>
                <w:sz w:val="18"/>
                <w:szCs w:val="18"/>
              </w:rPr>
              <w:t>ANOVA</w:t>
            </w:r>
            <w:r>
              <w:rPr>
                <w:rFonts w:ascii="Arial" w:hAnsi="Arial" w:cs="Arial"/>
                <w:b/>
                <w:bCs/>
                <w:sz w:val="18"/>
                <w:szCs w:val="18"/>
                <w:vertAlign w:val="superscript"/>
              </w:rPr>
              <w:t>a</w:t>
            </w:r>
          </w:p>
        </w:tc>
      </w:tr>
      <w:tr w:rsidR="00FC749F" w:rsidTr="009002E0">
        <w:trPr>
          <w:cantSplit/>
        </w:trPr>
        <w:tc>
          <w:tcPr>
            <w:tcW w:w="2041" w:type="dxa"/>
            <w:gridSpan w:val="2"/>
            <w:tcBorders>
              <w:top w:val="single" w:sz="16" w:space="0" w:color="000000"/>
              <w:left w:val="single" w:sz="16" w:space="0" w:color="000000"/>
              <w:bottom w:val="single" w:sz="16" w:space="0" w:color="000000"/>
              <w:right w:val="nil"/>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Model</w:t>
            </w:r>
          </w:p>
        </w:tc>
        <w:tc>
          <w:tcPr>
            <w:tcW w:w="1485" w:type="dxa"/>
            <w:tcBorders>
              <w:top w:val="single" w:sz="16" w:space="0" w:color="000000"/>
              <w:left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Sum of Squares</w:t>
            </w:r>
          </w:p>
        </w:tc>
        <w:tc>
          <w:tcPr>
            <w:tcW w:w="1036"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Df</w:t>
            </w:r>
          </w:p>
        </w:tc>
        <w:tc>
          <w:tcPr>
            <w:tcW w:w="1423"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Mean Square</w:t>
            </w:r>
          </w:p>
        </w:tc>
        <w:tc>
          <w:tcPr>
            <w:tcW w:w="1036" w:type="dxa"/>
            <w:tcBorders>
              <w:top w:val="single" w:sz="16" w:space="0" w:color="000000"/>
              <w:bottom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F</w:t>
            </w:r>
          </w:p>
        </w:tc>
        <w:tc>
          <w:tcPr>
            <w:tcW w:w="1036" w:type="dxa"/>
            <w:tcBorders>
              <w:top w:val="single" w:sz="16" w:space="0" w:color="000000"/>
              <w:bottom w:val="single" w:sz="16" w:space="0" w:color="000000"/>
              <w:right w:val="single" w:sz="16" w:space="0" w:color="000000"/>
            </w:tcBorders>
            <w:shd w:val="clear" w:color="auto" w:fill="FFFFFF"/>
            <w:vAlign w:val="bottom"/>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Sig.</w:t>
            </w:r>
          </w:p>
        </w:tc>
      </w:tr>
      <w:tr w:rsidR="00FC749F" w:rsidTr="009002E0">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1</w:t>
            </w:r>
          </w:p>
        </w:tc>
        <w:tc>
          <w:tcPr>
            <w:tcW w:w="1299" w:type="dxa"/>
            <w:tcBorders>
              <w:top w:val="single" w:sz="16" w:space="0" w:color="000000"/>
              <w:left w:val="nil"/>
              <w:bottom w:val="nil"/>
              <w:right w:val="single" w:sz="16" w:space="0" w:color="000000"/>
            </w:tcBorders>
            <w:shd w:val="clear" w:color="auto" w:fill="FFFFFF"/>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Regression</w:t>
            </w:r>
          </w:p>
        </w:tc>
        <w:tc>
          <w:tcPr>
            <w:tcW w:w="1485" w:type="dxa"/>
            <w:tcBorders>
              <w:top w:val="single" w:sz="16" w:space="0" w:color="000000"/>
              <w:left w:val="single" w:sz="16" w:space="0" w:color="000000"/>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60.479</w:t>
            </w:r>
          </w:p>
        </w:tc>
        <w:tc>
          <w:tcPr>
            <w:tcW w:w="1036" w:type="dxa"/>
            <w:tcBorders>
              <w:top w:val="single" w:sz="16" w:space="0" w:color="000000"/>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4</w:t>
            </w:r>
          </w:p>
        </w:tc>
        <w:tc>
          <w:tcPr>
            <w:tcW w:w="1423" w:type="dxa"/>
            <w:tcBorders>
              <w:top w:val="single" w:sz="16" w:space="0" w:color="000000"/>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15.120</w:t>
            </w:r>
          </w:p>
        </w:tc>
        <w:tc>
          <w:tcPr>
            <w:tcW w:w="1036" w:type="dxa"/>
            <w:tcBorders>
              <w:top w:val="single" w:sz="16" w:space="0" w:color="000000"/>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.463</w:t>
            </w:r>
          </w:p>
        </w:tc>
        <w:tc>
          <w:tcPr>
            <w:tcW w:w="1036" w:type="dxa"/>
            <w:tcBorders>
              <w:top w:val="single" w:sz="16" w:space="0" w:color="000000"/>
              <w:bottom w:val="nil"/>
              <w:right w:val="single" w:sz="16" w:space="0" w:color="000000"/>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.762</w:t>
            </w:r>
            <w:r>
              <w:rPr>
                <w:rFonts w:ascii="Arial" w:hAnsi="Arial" w:cs="Arial"/>
                <w:sz w:val="18"/>
                <w:szCs w:val="18"/>
                <w:vertAlign w:val="superscript"/>
              </w:rPr>
              <w:t>b</w:t>
            </w:r>
          </w:p>
        </w:tc>
      </w:tr>
      <w:tr w:rsidR="00FC749F" w:rsidTr="009002E0">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jc w:val="center"/>
              <w:rPr>
                <w:rFonts w:ascii="Arial" w:hAnsi="Arial" w:cs="Arial"/>
                <w:sz w:val="18"/>
                <w:szCs w:val="18"/>
              </w:rPr>
            </w:pPr>
          </w:p>
        </w:tc>
        <w:tc>
          <w:tcPr>
            <w:tcW w:w="1299" w:type="dxa"/>
            <w:tcBorders>
              <w:top w:val="nil"/>
              <w:left w:val="nil"/>
              <w:bottom w:val="nil"/>
              <w:right w:val="single" w:sz="16" w:space="0" w:color="000000"/>
            </w:tcBorders>
            <w:shd w:val="clear" w:color="auto" w:fill="FFFFFF"/>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163.209</w:t>
            </w:r>
          </w:p>
        </w:tc>
        <w:tc>
          <w:tcPr>
            <w:tcW w:w="1036" w:type="dxa"/>
            <w:tcBorders>
              <w:top w:val="nil"/>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5</w:t>
            </w:r>
          </w:p>
        </w:tc>
        <w:tc>
          <w:tcPr>
            <w:tcW w:w="1423" w:type="dxa"/>
            <w:tcBorders>
              <w:top w:val="nil"/>
              <w:bottom w:val="nil"/>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32.642</w:t>
            </w:r>
          </w:p>
        </w:tc>
        <w:tc>
          <w:tcPr>
            <w:tcW w:w="1036" w:type="dxa"/>
            <w:tcBorders>
              <w:top w:val="nil"/>
              <w:bottom w:val="nil"/>
            </w:tcBorders>
            <w:shd w:val="clear" w:color="auto" w:fill="FFFFFF"/>
            <w:vAlign w:val="center"/>
          </w:tcPr>
          <w:p w:rsidR="00FC749F" w:rsidRDefault="00FC749F" w:rsidP="009002E0">
            <w:pPr>
              <w:jc w:val="center"/>
              <w:rPr>
                <w:rFonts w:ascii="Times New Roman" w:hAnsi="Times New Roman" w:cs="Times New Roman"/>
                <w:sz w:val="24"/>
                <w:szCs w:val="24"/>
              </w:rPr>
            </w:pPr>
          </w:p>
        </w:tc>
        <w:tc>
          <w:tcPr>
            <w:tcW w:w="1036" w:type="dxa"/>
            <w:tcBorders>
              <w:top w:val="nil"/>
              <w:bottom w:val="nil"/>
              <w:right w:val="single" w:sz="16" w:space="0" w:color="000000"/>
            </w:tcBorders>
            <w:shd w:val="clear" w:color="auto" w:fill="FFFFFF"/>
            <w:vAlign w:val="center"/>
          </w:tcPr>
          <w:p w:rsidR="00FC749F" w:rsidRDefault="00FC749F" w:rsidP="009002E0">
            <w:pPr>
              <w:jc w:val="center"/>
              <w:rPr>
                <w:rFonts w:ascii="Times New Roman" w:hAnsi="Times New Roman" w:cs="Times New Roman"/>
                <w:sz w:val="24"/>
                <w:szCs w:val="24"/>
              </w:rPr>
            </w:pPr>
          </w:p>
        </w:tc>
      </w:tr>
      <w:tr w:rsidR="00FC749F" w:rsidTr="009002E0">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FC749F" w:rsidRDefault="00FC749F" w:rsidP="009002E0">
            <w:pPr>
              <w:jc w:val="center"/>
              <w:rPr>
                <w:rFonts w:ascii="Times New Roman" w:hAnsi="Times New Roman" w:cs="Times New Roman"/>
                <w:sz w:val="24"/>
                <w:szCs w:val="24"/>
              </w:rPr>
            </w:pPr>
          </w:p>
        </w:tc>
        <w:tc>
          <w:tcPr>
            <w:tcW w:w="1299" w:type="dxa"/>
            <w:tcBorders>
              <w:top w:val="nil"/>
              <w:left w:val="nil"/>
              <w:bottom w:val="single" w:sz="16" w:space="0" w:color="000000"/>
              <w:right w:val="single" w:sz="16" w:space="0" w:color="000000"/>
            </w:tcBorders>
            <w:shd w:val="clear" w:color="auto" w:fill="FFFFFF"/>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16" w:space="0" w:color="000000"/>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223.688</w:t>
            </w:r>
          </w:p>
        </w:tc>
        <w:tc>
          <w:tcPr>
            <w:tcW w:w="1036" w:type="dxa"/>
            <w:tcBorders>
              <w:top w:val="nil"/>
              <w:bottom w:val="single" w:sz="16" w:space="0" w:color="000000"/>
            </w:tcBorders>
            <w:shd w:val="clear" w:color="auto" w:fill="FFFFFF"/>
            <w:vAlign w:val="center"/>
          </w:tcPr>
          <w:p w:rsidR="00FC749F" w:rsidRDefault="00FC749F" w:rsidP="009002E0">
            <w:pPr>
              <w:spacing w:line="320" w:lineRule="atLeast"/>
              <w:ind w:left="60" w:right="60"/>
              <w:jc w:val="center"/>
              <w:rPr>
                <w:rFonts w:ascii="Arial" w:hAnsi="Arial" w:cs="Arial"/>
                <w:sz w:val="18"/>
                <w:szCs w:val="18"/>
              </w:rPr>
            </w:pPr>
            <w:r>
              <w:rPr>
                <w:rFonts w:ascii="Arial" w:hAnsi="Arial" w:cs="Arial"/>
                <w:sz w:val="18"/>
                <w:szCs w:val="18"/>
              </w:rPr>
              <w:t>9</w:t>
            </w:r>
          </w:p>
        </w:tc>
        <w:tc>
          <w:tcPr>
            <w:tcW w:w="1423" w:type="dxa"/>
            <w:tcBorders>
              <w:top w:val="nil"/>
              <w:bottom w:val="single" w:sz="16" w:space="0" w:color="000000"/>
            </w:tcBorders>
            <w:shd w:val="clear" w:color="auto" w:fill="FFFFFF"/>
            <w:vAlign w:val="center"/>
          </w:tcPr>
          <w:p w:rsidR="00FC749F" w:rsidRDefault="00FC749F" w:rsidP="009002E0">
            <w:pPr>
              <w:jc w:val="center"/>
              <w:rPr>
                <w:rFonts w:ascii="Times New Roman" w:hAnsi="Times New Roman" w:cs="Times New Roman"/>
                <w:sz w:val="24"/>
                <w:szCs w:val="24"/>
              </w:rPr>
            </w:pPr>
          </w:p>
        </w:tc>
        <w:tc>
          <w:tcPr>
            <w:tcW w:w="1036" w:type="dxa"/>
            <w:tcBorders>
              <w:top w:val="nil"/>
              <w:bottom w:val="single" w:sz="16" w:space="0" w:color="000000"/>
            </w:tcBorders>
            <w:shd w:val="clear" w:color="auto" w:fill="FFFFFF"/>
            <w:vAlign w:val="center"/>
          </w:tcPr>
          <w:p w:rsidR="00FC749F" w:rsidRDefault="00FC749F" w:rsidP="009002E0">
            <w:pPr>
              <w:jc w:val="center"/>
              <w:rPr>
                <w:rFonts w:ascii="Times New Roman" w:hAnsi="Times New Roman" w:cs="Times New Roman"/>
                <w:sz w:val="24"/>
                <w:szCs w:val="24"/>
              </w:rPr>
            </w:pPr>
          </w:p>
        </w:tc>
        <w:tc>
          <w:tcPr>
            <w:tcW w:w="1036" w:type="dxa"/>
            <w:tcBorders>
              <w:top w:val="nil"/>
              <w:bottom w:val="single" w:sz="16" w:space="0" w:color="000000"/>
              <w:right w:val="single" w:sz="16" w:space="0" w:color="000000"/>
            </w:tcBorders>
            <w:shd w:val="clear" w:color="auto" w:fill="FFFFFF"/>
            <w:vAlign w:val="center"/>
          </w:tcPr>
          <w:p w:rsidR="00FC749F" w:rsidRDefault="00FC749F" w:rsidP="009002E0">
            <w:pPr>
              <w:jc w:val="center"/>
              <w:rPr>
                <w:rFonts w:ascii="Times New Roman" w:hAnsi="Times New Roman" w:cs="Times New Roman"/>
                <w:sz w:val="24"/>
                <w:szCs w:val="24"/>
              </w:rPr>
            </w:pPr>
          </w:p>
        </w:tc>
      </w:tr>
    </w:tbl>
    <w:p w:rsidR="00FC749F" w:rsidRDefault="00FC749F" w:rsidP="00FC749F">
      <w:pPr>
        <w:jc w:val="center"/>
        <w:rPr>
          <w:rFonts w:ascii="Times New Roman" w:hAnsi="Times New Roman" w:cs="Times New Roman"/>
          <w:sz w:val="24"/>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FC749F" w:rsidTr="009002E0">
        <w:trPr>
          <w:cantSplit/>
        </w:trPr>
        <w:tc>
          <w:tcPr>
            <w:tcW w:w="8057"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a. Dependent Variable: Y</w:t>
            </w:r>
          </w:p>
        </w:tc>
      </w:tr>
      <w:tr w:rsidR="00FC749F" w:rsidTr="009002E0">
        <w:trPr>
          <w:cantSplit/>
        </w:trPr>
        <w:tc>
          <w:tcPr>
            <w:tcW w:w="8057" w:type="dxa"/>
            <w:tcBorders>
              <w:top w:val="nil"/>
              <w:left w:val="nil"/>
              <w:bottom w:val="nil"/>
              <w:right w:val="nil"/>
            </w:tcBorders>
            <w:shd w:val="clear" w:color="auto" w:fill="FFFFFF"/>
          </w:tcPr>
          <w:p w:rsidR="00FC749F" w:rsidRDefault="00FC749F" w:rsidP="009002E0">
            <w:pPr>
              <w:spacing w:line="320" w:lineRule="atLeast"/>
              <w:ind w:left="60" w:right="60"/>
              <w:rPr>
                <w:rFonts w:ascii="Arial" w:hAnsi="Arial" w:cs="Arial"/>
                <w:sz w:val="18"/>
                <w:szCs w:val="18"/>
              </w:rPr>
            </w:pPr>
            <w:r>
              <w:rPr>
                <w:rFonts w:ascii="Arial" w:hAnsi="Arial" w:cs="Arial"/>
                <w:sz w:val="18"/>
                <w:szCs w:val="18"/>
              </w:rPr>
              <w:t>b. Predictors: (Constant), X4, X1, X3, X2</w:t>
            </w:r>
          </w:p>
        </w:tc>
      </w:tr>
    </w:tbl>
    <w:p w:rsidR="00FC749F" w:rsidRDefault="00FC749F" w:rsidP="00FC749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F76AAE">
        <w:rPr>
          <w:rFonts w:ascii="Times New Roman" w:hAnsi="Times New Roman" w:cs="Times New Roman"/>
          <w:bCs/>
          <w:sz w:val="24"/>
          <w:szCs w:val="24"/>
        </w:rPr>
        <w:t xml:space="preserve">Berdasarkan tabel diatas diketahui F  hitung sebesar 0.463. selanjutnya nilai F hitung dibandingkan dengan F tabel. F tabel dalam penelitian ini adalah sebesar 3.71. </w:t>
      </w:r>
      <w:r>
        <w:rPr>
          <w:rFonts w:ascii="Times New Roman" w:hAnsi="Times New Roman" w:cs="Times New Roman"/>
          <w:bCs/>
          <w:sz w:val="24"/>
          <w:szCs w:val="24"/>
        </w:rPr>
        <w:t>K</w:t>
      </w:r>
      <w:r w:rsidRPr="00F76AAE">
        <w:rPr>
          <w:rFonts w:ascii="Times New Roman" w:hAnsi="Times New Roman" w:cs="Times New Roman"/>
          <w:bCs/>
          <w:sz w:val="24"/>
          <w:szCs w:val="24"/>
        </w:rPr>
        <w:t>arena itu F hitung 0.463</w:t>
      </w:r>
      <w:r>
        <w:rPr>
          <w:rFonts w:ascii="Times New Roman" w:hAnsi="Times New Roman" w:cs="Times New Roman"/>
          <w:bCs/>
          <w:sz w:val="24"/>
          <w:szCs w:val="24"/>
        </w:rPr>
        <w:t xml:space="preserve"> &lt; </w:t>
      </w:r>
      <w:r w:rsidRPr="00F76AAE">
        <w:rPr>
          <w:rFonts w:ascii="Times New Roman" w:hAnsi="Times New Roman" w:cs="Times New Roman"/>
          <w:bCs/>
          <w:sz w:val="24"/>
          <w:szCs w:val="24"/>
        </w:rPr>
        <w:t>3.71</w:t>
      </w:r>
      <w:r>
        <w:rPr>
          <w:rFonts w:ascii="Times New Roman" w:hAnsi="Times New Roman" w:cs="Times New Roman"/>
          <w:bCs/>
          <w:sz w:val="24"/>
          <w:szCs w:val="24"/>
        </w:rPr>
        <w:t xml:space="preserve"> dengan nilai signifikan 0,762 &gt; 0,05</w:t>
      </w:r>
      <w:r w:rsidRPr="00F76AAE">
        <w:rPr>
          <w:rFonts w:ascii="Times New Roman" w:hAnsi="Times New Roman" w:cs="Times New Roman"/>
          <w:bCs/>
          <w:sz w:val="24"/>
          <w:szCs w:val="24"/>
        </w:rPr>
        <w:t xml:space="preserve">. </w:t>
      </w:r>
      <w:r>
        <w:rPr>
          <w:rFonts w:ascii="Times New Roman" w:hAnsi="Times New Roman" w:cs="Times New Roman"/>
          <w:bCs/>
          <w:sz w:val="24"/>
          <w:szCs w:val="24"/>
        </w:rPr>
        <w:t>M</w:t>
      </w:r>
      <w:r w:rsidRPr="00F76AAE">
        <w:rPr>
          <w:rFonts w:ascii="Times New Roman" w:hAnsi="Times New Roman" w:cs="Times New Roman"/>
          <w:bCs/>
          <w:sz w:val="24"/>
          <w:szCs w:val="24"/>
        </w:rPr>
        <w:t xml:space="preserve">aka dapat </w:t>
      </w:r>
      <w:r>
        <w:rPr>
          <w:rFonts w:ascii="Times New Roman" w:hAnsi="Times New Roman" w:cs="Times New Roman"/>
          <w:bCs/>
          <w:sz w:val="24"/>
          <w:szCs w:val="24"/>
        </w:rPr>
        <w:t xml:space="preserve">ditarik kesimpulan </w:t>
      </w:r>
      <w:r>
        <w:rPr>
          <w:rFonts w:ascii="Times New Roman" w:hAnsi="Times New Roman" w:cs="Times New Roman"/>
          <w:bCs/>
          <w:sz w:val="24"/>
          <w:szCs w:val="24"/>
        </w:rPr>
        <w:lastRenderedPageBreak/>
        <w:t xml:space="preserve">bahwa variabel bebas (X1), (X2), (X3), (X4), secara simultan tidak berpengaruh dan signifikan terhadap variabel terikat (Y). </w:t>
      </w:r>
    </w:p>
    <w:p w:rsidR="00FC749F" w:rsidRDefault="00FC749F" w:rsidP="00FC749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FC749F" w:rsidRPr="002331AA" w:rsidRDefault="00FC749F" w:rsidP="00FC749F">
      <w:pPr>
        <w:pStyle w:val="ListParagraph"/>
        <w:numPr>
          <w:ilvl w:val="0"/>
          <w:numId w:val="2"/>
        </w:numPr>
        <w:spacing w:after="0" w:line="240" w:lineRule="auto"/>
        <w:jc w:val="both"/>
        <w:rPr>
          <w:rFonts w:ascii="Times New Roman" w:hAnsi="Times New Roman" w:cs="Times New Roman"/>
          <w:b/>
          <w:bCs/>
          <w:sz w:val="24"/>
          <w:szCs w:val="24"/>
        </w:rPr>
      </w:pPr>
      <w:r w:rsidRPr="002331AA">
        <w:rPr>
          <w:rFonts w:ascii="Times New Roman" w:hAnsi="Times New Roman" w:cs="Times New Roman"/>
          <w:b/>
          <w:bCs/>
          <w:sz w:val="24"/>
          <w:szCs w:val="24"/>
        </w:rPr>
        <w:t>Pengaruh Pendapatan Premi Terhadap Kinerja Keuangan Perusahaan</w:t>
      </w:r>
    </w:p>
    <w:p w:rsidR="00FC749F" w:rsidRDefault="00FC749F" w:rsidP="00FC749F">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Hasil pengujian pada variabel pendapatan premi terhadap kinerja keuangan perusahaan asuransi berpengaruh terhadap kinerja keuangan perusahaan asuransi. Hal ini cukup beralasan karena setiap premi yang dibayarkan semakin tinggi dan diterima oleh perusahaan maka akan berpengaruh yang baik terhadap kinerja keuangan perusahaan.</w:t>
      </w:r>
    </w:p>
    <w:p w:rsidR="00FC749F" w:rsidRPr="002331AA" w:rsidRDefault="00FC749F" w:rsidP="00FC749F">
      <w:pPr>
        <w:pStyle w:val="ListParagraph"/>
        <w:numPr>
          <w:ilvl w:val="0"/>
          <w:numId w:val="2"/>
        </w:numPr>
        <w:spacing w:after="0" w:line="240" w:lineRule="auto"/>
        <w:jc w:val="both"/>
        <w:rPr>
          <w:rFonts w:ascii="Times New Roman" w:hAnsi="Times New Roman" w:cs="Times New Roman"/>
          <w:b/>
          <w:bCs/>
          <w:i/>
          <w:sz w:val="24"/>
          <w:szCs w:val="24"/>
        </w:rPr>
      </w:pPr>
      <w:r w:rsidRPr="002331AA">
        <w:rPr>
          <w:rFonts w:ascii="Times New Roman" w:hAnsi="Times New Roman" w:cs="Times New Roman"/>
          <w:b/>
          <w:bCs/>
          <w:sz w:val="24"/>
          <w:szCs w:val="24"/>
        </w:rPr>
        <w:t xml:space="preserve">Pengaruh Hasil </w:t>
      </w:r>
      <w:r w:rsidRPr="002331AA">
        <w:rPr>
          <w:rFonts w:ascii="Times New Roman" w:hAnsi="Times New Roman" w:cs="Times New Roman"/>
          <w:b/>
          <w:bCs/>
          <w:i/>
          <w:sz w:val="24"/>
          <w:szCs w:val="24"/>
        </w:rPr>
        <w:t>Underwriting</w:t>
      </w:r>
    </w:p>
    <w:p w:rsidR="00FC749F" w:rsidRDefault="00FC749F" w:rsidP="00FC749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Hasil pengujian pada variabel hasil </w:t>
      </w:r>
      <w:r>
        <w:rPr>
          <w:rFonts w:ascii="Times New Roman" w:hAnsi="Times New Roman" w:cs="Times New Roman"/>
          <w:bCs/>
          <w:i/>
          <w:sz w:val="24"/>
          <w:szCs w:val="24"/>
        </w:rPr>
        <w:t xml:space="preserve">underwriting </w:t>
      </w:r>
      <w:r>
        <w:rPr>
          <w:rFonts w:ascii="Times New Roman" w:hAnsi="Times New Roman" w:cs="Times New Roman"/>
          <w:bCs/>
          <w:sz w:val="24"/>
          <w:szCs w:val="24"/>
        </w:rPr>
        <w:t xml:space="preserve"> terhadap kinerja keuangan perusahaan asuransi menunjukkan bahwa berpengaruh terhadap kinerja keuangan perusahaan sebab kenaikan hasil underwriting akan berpengaruh kepada kinerja keuangan perusahaan hal ini dikarenakan hasil underwrting merupakan proses penyelesaian dan pengelompokan risiko yang akan ditanggung maka hasil underwriting berpengaruh terhadap kinerja keuangan perusahaan.</w:t>
      </w:r>
    </w:p>
    <w:p w:rsidR="00FC749F" w:rsidRDefault="00FC749F" w:rsidP="00FC749F">
      <w:pPr>
        <w:pStyle w:val="ListParagraph"/>
        <w:numPr>
          <w:ilvl w:val="0"/>
          <w:numId w:val="2"/>
        </w:numPr>
        <w:spacing w:after="0" w:line="240" w:lineRule="auto"/>
        <w:jc w:val="both"/>
        <w:rPr>
          <w:rFonts w:ascii="Times New Roman" w:hAnsi="Times New Roman" w:cs="Times New Roman"/>
          <w:b/>
          <w:bCs/>
          <w:sz w:val="24"/>
          <w:szCs w:val="24"/>
        </w:rPr>
      </w:pPr>
      <w:r w:rsidRPr="002331AA">
        <w:rPr>
          <w:rFonts w:ascii="Times New Roman" w:hAnsi="Times New Roman" w:cs="Times New Roman"/>
          <w:b/>
          <w:bCs/>
          <w:sz w:val="24"/>
          <w:szCs w:val="24"/>
        </w:rPr>
        <w:t xml:space="preserve">Pengaruh </w:t>
      </w:r>
      <w:r w:rsidRPr="002331AA">
        <w:rPr>
          <w:rFonts w:ascii="Times New Roman" w:hAnsi="Times New Roman" w:cs="Times New Roman"/>
          <w:b/>
          <w:bCs/>
          <w:i/>
          <w:sz w:val="24"/>
          <w:szCs w:val="24"/>
        </w:rPr>
        <w:t xml:space="preserve">Risk Based Capital </w:t>
      </w:r>
      <w:r w:rsidRPr="002331AA">
        <w:rPr>
          <w:rFonts w:ascii="Times New Roman" w:hAnsi="Times New Roman" w:cs="Times New Roman"/>
          <w:b/>
          <w:bCs/>
          <w:sz w:val="24"/>
          <w:szCs w:val="24"/>
        </w:rPr>
        <w:t>(RBC) terhadap Kinerja Keuangan Perusahaan</w:t>
      </w:r>
    </w:p>
    <w:p w:rsidR="00FC749F" w:rsidRDefault="00FC749F" w:rsidP="00FC749F">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Pada hasil pengujian variabel </w:t>
      </w:r>
      <w:r>
        <w:rPr>
          <w:rFonts w:ascii="Times New Roman" w:hAnsi="Times New Roman" w:cs="Times New Roman"/>
          <w:bCs/>
          <w:i/>
          <w:sz w:val="24"/>
          <w:szCs w:val="24"/>
        </w:rPr>
        <w:t xml:space="preserve">Risk Based Capital </w:t>
      </w:r>
      <w:r>
        <w:rPr>
          <w:rFonts w:ascii="Times New Roman" w:hAnsi="Times New Roman" w:cs="Times New Roman"/>
          <w:bCs/>
          <w:sz w:val="24"/>
          <w:szCs w:val="24"/>
        </w:rPr>
        <w:t xml:space="preserve">terhadap kinerja keuangan perusahaan menunjukkan bahwa tidak berpengaruh terhadap kinerja keuangan perusahaan karena jika tingkat </w:t>
      </w:r>
      <w:r>
        <w:rPr>
          <w:rFonts w:ascii="Times New Roman" w:hAnsi="Times New Roman" w:cs="Times New Roman"/>
          <w:bCs/>
          <w:i/>
          <w:sz w:val="24"/>
          <w:szCs w:val="24"/>
        </w:rPr>
        <w:t>solvency</w:t>
      </w:r>
      <w:r>
        <w:rPr>
          <w:rFonts w:ascii="Times New Roman" w:hAnsi="Times New Roman" w:cs="Times New Roman"/>
          <w:bCs/>
          <w:sz w:val="24"/>
          <w:szCs w:val="24"/>
        </w:rPr>
        <w:t xml:space="preserve"> terlalu tinggi maka akan semakin tinggi RBC dan itu menyebabkan semakin rendahnya untuk memperoleh keuntungan pada perusahaan dan itu membuat perusahaan tidak efisien. </w:t>
      </w:r>
    </w:p>
    <w:p w:rsidR="00FC749F" w:rsidRPr="00D66857" w:rsidRDefault="00FC749F" w:rsidP="00FC749F">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Pengaruh Rasio Kecukupan Investasi Terhadap Kinerja Keuangan Perusahaan</w:t>
      </w:r>
    </w:p>
    <w:p w:rsidR="00397BA1" w:rsidRPr="00B26C73" w:rsidRDefault="00FC749F" w:rsidP="00B26C73">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Hasil penelitian yang dilakukan menunjukkan bahwa rasio kecukupan investasi berpengaruh signifikan terhadap kinerja keuangan perusahaan sebab rasio ini merupakan suatu rasio untuk mengukur kemampuan perusahaan dalam memenuhi klaim yang terjadi jika. </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B26C73" w:rsidRDefault="009002E0" w:rsidP="000232F4">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 xml:space="preserve">Dari hasil penelitian dapat di simpulkan bahwa (1)  pendapatan premi mempengaruhi kinerja keuangan perusahaan secara positif dan signifikan,(2) hasil </w:t>
      </w:r>
      <w:r>
        <w:rPr>
          <w:rFonts w:asciiTheme="majorBidi" w:hAnsiTheme="majorBidi" w:cstheme="majorBidi"/>
          <w:bCs/>
          <w:i/>
          <w:sz w:val="24"/>
          <w:szCs w:val="24"/>
        </w:rPr>
        <w:t>underwriting</w:t>
      </w:r>
      <w:r>
        <w:rPr>
          <w:rFonts w:asciiTheme="majorBidi" w:hAnsiTheme="majorBidi" w:cstheme="majorBidi"/>
          <w:bCs/>
          <w:sz w:val="24"/>
          <w:szCs w:val="24"/>
        </w:rPr>
        <w:t xml:space="preserve"> mempengaruhi kinerja keuangan perusahaan secara positif dan signifikan, (3) </w:t>
      </w:r>
      <w:r>
        <w:rPr>
          <w:rFonts w:asciiTheme="majorBidi" w:hAnsiTheme="majorBidi" w:cstheme="majorBidi"/>
          <w:bCs/>
          <w:i/>
          <w:sz w:val="24"/>
          <w:szCs w:val="24"/>
        </w:rPr>
        <w:t xml:space="preserve">risk based capital </w:t>
      </w:r>
      <w:r>
        <w:rPr>
          <w:rFonts w:asciiTheme="majorBidi" w:hAnsiTheme="majorBidi" w:cstheme="majorBidi"/>
          <w:bCs/>
          <w:sz w:val="24"/>
          <w:szCs w:val="24"/>
        </w:rPr>
        <w:t xml:space="preserve">tidak mempengaruhi kinerja keuangan perusahaan dan (4) rasio kecukupan investasi mempengaruhi kinerja keuangan perusahaan asuransi. </w:t>
      </w:r>
    </w:p>
    <w:p w:rsidR="00B26C73" w:rsidRDefault="009002E0" w:rsidP="000232F4">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ab/>
        <w:t>Beberapa saran</w:t>
      </w:r>
      <w:r w:rsidR="00AD420C">
        <w:rPr>
          <w:rFonts w:asciiTheme="majorBidi" w:hAnsiTheme="majorBidi" w:cstheme="majorBidi"/>
          <w:bCs/>
          <w:sz w:val="24"/>
          <w:szCs w:val="24"/>
        </w:rPr>
        <w:t xml:space="preserve"> yang akan disampaikan yaitu bag</w:t>
      </w:r>
      <w:r>
        <w:rPr>
          <w:rFonts w:asciiTheme="majorBidi" w:hAnsiTheme="majorBidi" w:cstheme="majorBidi"/>
          <w:bCs/>
          <w:sz w:val="24"/>
          <w:szCs w:val="24"/>
        </w:rPr>
        <w:t xml:space="preserve">i perusahaan sebaiknya dapat memperhatikan kestabilan kinerja keuangan pada setiap periodenya. Bagi investor dan calon investor mampu memilih dan memilah tempat yang akan </w:t>
      </w:r>
      <w:r w:rsidR="0014443A">
        <w:rPr>
          <w:rFonts w:asciiTheme="majorBidi" w:hAnsiTheme="majorBidi" w:cstheme="majorBidi"/>
          <w:bCs/>
          <w:sz w:val="24"/>
          <w:szCs w:val="24"/>
        </w:rPr>
        <w:t>ditanamkan modal. Bagi peneliti selanjutnya dapat mempelajari lebih dalam faktor yang mempengaruhi kinerja keuangan dengan menggunakan variabel-variabel independen yang lainnya.</w:t>
      </w:r>
    </w:p>
    <w:p w:rsidR="00AA0F0C" w:rsidRPr="0014443A" w:rsidRDefault="00AA0F0C" w:rsidP="000232F4">
      <w:pPr>
        <w:spacing w:after="0" w:line="240" w:lineRule="auto"/>
        <w:jc w:val="both"/>
        <w:rPr>
          <w:rFonts w:asciiTheme="majorBidi" w:hAnsiTheme="majorBidi" w:cstheme="majorBidi"/>
          <w:bCs/>
          <w:sz w:val="24"/>
          <w:szCs w:val="24"/>
        </w:rPr>
      </w:pPr>
      <w:bookmarkStart w:id="0" w:name="_GoBack"/>
      <w:bookmarkEnd w:id="0"/>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sdt>
      <w:sdtPr>
        <w:id w:val="1060205"/>
        <w:docPartObj>
          <w:docPartGallery w:val="Bibliographies"/>
          <w:docPartUnique/>
        </w:docPartObj>
      </w:sdtPr>
      <w:sdtContent>
        <w:p w:rsidR="00AA0F0C" w:rsidRPr="00AA0F0C" w:rsidRDefault="00503983"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D66857">
            <w:rPr>
              <w:rFonts w:ascii="Times New Roman" w:hAnsi="Times New Roman" w:cs="Times New Roman"/>
              <w:sz w:val="24"/>
              <w:szCs w:val="24"/>
            </w:rPr>
            <w:fldChar w:fldCharType="begin" w:fldLock="1"/>
          </w:r>
          <w:r w:rsidR="00B26C73" w:rsidRPr="00D66857">
            <w:rPr>
              <w:rFonts w:ascii="Times New Roman" w:hAnsi="Times New Roman" w:cs="Times New Roman"/>
              <w:sz w:val="24"/>
              <w:szCs w:val="24"/>
            </w:rPr>
            <w:instrText xml:space="preserve">ADDIN Mendeley Bibliography CSL_BIBLIOGRAPHY </w:instrText>
          </w:r>
          <w:r w:rsidRPr="00D66857">
            <w:rPr>
              <w:rFonts w:ascii="Times New Roman" w:hAnsi="Times New Roman" w:cs="Times New Roman"/>
              <w:sz w:val="24"/>
              <w:szCs w:val="24"/>
            </w:rPr>
            <w:fldChar w:fldCharType="separate"/>
          </w:r>
          <w:r w:rsidR="00AA0F0C" w:rsidRPr="00AA0F0C">
            <w:rPr>
              <w:rFonts w:ascii="Times New Roman" w:hAnsi="Times New Roman" w:cs="Times New Roman"/>
              <w:noProof/>
              <w:sz w:val="24"/>
              <w:szCs w:val="24"/>
            </w:rPr>
            <w:t xml:space="preserve">Agustianto, M. A. (2021). AsuransidalamPandanganEkonomiIslam. </w:t>
          </w:r>
          <w:r w:rsidR="00AA0F0C" w:rsidRPr="00AA0F0C">
            <w:rPr>
              <w:rFonts w:ascii="Times New Roman" w:hAnsi="Times New Roman" w:cs="Times New Roman"/>
              <w:i/>
              <w:iCs/>
              <w:noProof/>
              <w:sz w:val="24"/>
              <w:szCs w:val="24"/>
            </w:rPr>
            <w:t xml:space="preserve">AL-IQTISHOD: Jurnal Pemikiran Dan Penelitian Ekonomi Islam </w:t>
          </w:r>
          <w:r w:rsidR="00AA0F0C" w:rsidRPr="00AA0F0C">
            <w:rPr>
              <w:rFonts w:ascii="Times New Roman" w:hAnsi="Times New Roman" w:cs="Times New Roman"/>
              <w:noProof/>
              <w:sz w:val="24"/>
              <w:szCs w:val="24"/>
            </w:rPr>
            <w:t xml:space="preserve">, </w:t>
          </w:r>
          <w:r w:rsidR="00AA0F0C" w:rsidRPr="00AA0F0C">
            <w:rPr>
              <w:rFonts w:ascii="Times New Roman" w:hAnsi="Times New Roman" w:cs="Times New Roman"/>
              <w:i/>
              <w:iCs/>
              <w:noProof/>
              <w:sz w:val="24"/>
              <w:szCs w:val="24"/>
            </w:rPr>
            <w:t>9</w:t>
          </w:r>
          <w:r w:rsidR="00AA0F0C" w:rsidRPr="00AA0F0C">
            <w:rPr>
              <w:rFonts w:ascii="Times New Roman" w:hAnsi="Times New Roman" w:cs="Times New Roman"/>
              <w:noProof/>
              <w:sz w:val="24"/>
              <w:szCs w:val="24"/>
            </w:rPr>
            <w:t>(1), 91–101.</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Agustiranda, W., &amp; Bakar, S. W. (2014). </w:t>
          </w:r>
          <w:r w:rsidRPr="00AA0F0C">
            <w:rPr>
              <w:rFonts w:ascii="Times New Roman" w:hAnsi="Times New Roman" w:cs="Times New Roman"/>
              <w:i/>
              <w:iCs/>
              <w:noProof/>
              <w:sz w:val="24"/>
              <w:szCs w:val="24"/>
            </w:rPr>
            <w:t>Pengaruh pendapatan premi, pembayaran klaim, dan</w:t>
          </w:r>
          <w:r w:rsidRPr="00AA0F0C">
            <w:rPr>
              <w:rFonts w:ascii="Times New Roman" w:hAnsi="Times New Roman" w:cs="Times New Roman"/>
              <w:noProof/>
              <w:sz w:val="24"/>
              <w:szCs w:val="24"/>
            </w:rPr>
            <w:t>. 1–12.</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Alamsyah, R., Wiratno, A., &amp; Classsification, J. E. L. (2017). </w:t>
          </w:r>
          <w:r w:rsidRPr="00AA0F0C">
            <w:rPr>
              <w:rFonts w:ascii="Times New Roman" w:hAnsi="Times New Roman" w:cs="Times New Roman"/>
              <w:i/>
              <w:iCs/>
              <w:noProof/>
              <w:sz w:val="24"/>
              <w:szCs w:val="24"/>
            </w:rPr>
            <w:t xml:space="preserve">Pendapatan Premi , Rasio Hasil Investasi , Laba , Klaim dan Risk Based Capital Perusahaan Asuransi Kerugian di </w:t>
          </w:r>
          <w:r w:rsidRPr="00AA0F0C">
            <w:rPr>
              <w:rFonts w:ascii="Times New Roman" w:hAnsi="Times New Roman" w:cs="Times New Roman"/>
              <w:i/>
              <w:iCs/>
              <w:noProof/>
              <w:sz w:val="24"/>
              <w:szCs w:val="24"/>
            </w:rPr>
            <w:lastRenderedPageBreak/>
            <w:t>Indonesia</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 87–101.</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Dalam, A., &amp; Islam, P. (2019). </w:t>
          </w:r>
          <w:r w:rsidRPr="00AA0F0C">
            <w:rPr>
              <w:rFonts w:ascii="Times New Roman" w:hAnsi="Times New Roman" w:cs="Times New Roman"/>
              <w:i/>
              <w:iCs/>
              <w:noProof/>
              <w:sz w:val="24"/>
              <w:szCs w:val="24"/>
            </w:rPr>
            <w:t>SYAR’IE , Vol. 1 - Januari 2019</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Dimamu, J. (2022). </w:t>
          </w:r>
          <w:r w:rsidRPr="00AA0F0C">
            <w:rPr>
              <w:rFonts w:ascii="Times New Roman" w:hAnsi="Times New Roman" w:cs="Times New Roman"/>
              <w:i/>
              <w:iCs/>
              <w:noProof/>
              <w:sz w:val="24"/>
              <w:szCs w:val="24"/>
            </w:rPr>
            <w:t>Pengaruh Premi , Hasil Underwriting dan RBC terhadap ROA pada Asuransi Syariah yang Terdaftar di OJK Periode 2016-2020</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(2), 215–219.</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Dwi, N., Panjaitan, F., Syariah, E., Devy, H. S., &amp; Syariah, E. (2021). </w:t>
          </w:r>
          <w:r w:rsidRPr="00AA0F0C">
            <w:rPr>
              <w:rFonts w:ascii="Times New Roman" w:hAnsi="Times New Roman" w:cs="Times New Roman"/>
              <w:i/>
              <w:iCs/>
              <w:noProof/>
              <w:sz w:val="24"/>
              <w:szCs w:val="24"/>
            </w:rPr>
            <w:t>Pengaruh Pendapatan Premi , Klaim , Invetasi dan Biaya Operasional terhadap Pertumbuhan Aset Perusahaan Asuransi Jiwa Syariah di Indonesia</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(1), 35–43.</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Dzaki, N. A. (2018). </w:t>
          </w:r>
          <w:r w:rsidRPr="00AA0F0C">
            <w:rPr>
              <w:rFonts w:ascii="Times New Roman" w:hAnsi="Times New Roman" w:cs="Times New Roman"/>
              <w:i/>
              <w:iCs/>
              <w:noProof/>
              <w:sz w:val="24"/>
              <w:szCs w:val="24"/>
            </w:rPr>
            <w:t>Terhadap Profitabilitas Perusahaan Asuransi Jiwa Syariah Di Indonesia Tahun 2014-2018</w:t>
          </w:r>
          <w:r w:rsidRPr="00AA0F0C">
            <w:rPr>
              <w:rFonts w:ascii="Times New Roman" w:hAnsi="Times New Roman" w:cs="Times New Roman"/>
              <w:noProof/>
              <w:sz w:val="24"/>
              <w:szCs w:val="24"/>
            </w:rPr>
            <w:t>.</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Ekonomi, F., &amp; Dharmawangsa, U. (2020). </w:t>
          </w:r>
          <w:r w:rsidRPr="00AA0F0C">
            <w:rPr>
              <w:rFonts w:ascii="Times New Roman" w:hAnsi="Times New Roman" w:cs="Times New Roman"/>
              <w:i/>
              <w:iCs/>
              <w:noProof/>
              <w:sz w:val="24"/>
              <w:szCs w:val="24"/>
            </w:rPr>
            <w:t>Umar Hamdan Nasution</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5</w:t>
          </w:r>
          <w:r w:rsidRPr="00AA0F0C">
            <w:rPr>
              <w:rFonts w:ascii="Times New Roman" w:hAnsi="Times New Roman" w:cs="Times New Roman"/>
              <w:noProof/>
              <w:sz w:val="24"/>
              <w:szCs w:val="24"/>
            </w:rPr>
            <w:t>(1), 37–53.</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Hukum, F., Indonesia, U., Depok, K., &amp; Barat, J. (n.d.). </w:t>
          </w:r>
          <w:r w:rsidRPr="00AA0F0C">
            <w:rPr>
              <w:rFonts w:ascii="Times New Roman" w:hAnsi="Times New Roman" w:cs="Times New Roman"/>
              <w:i/>
              <w:iCs/>
              <w:noProof/>
              <w:sz w:val="24"/>
              <w:szCs w:val="24"/>
            </w:rPr>
            <w:t>Pendahuluan Menurut ajaran Islam , umat manusia yang ada di dunia ini merupakan manusia tidak bisa hidup sendiri tanpa bantuan pihak lain . Oleh karena itu ,</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47</w:t>
          </w:r>
          <w:r w:rsidRPr="00AA0F0C">
            <w:rPr>
              <w:rFonts w:ascii="Times New Roman" w:hAnsi="Times New Roman" w:cs="Times New Roman"/>
              <w:noProof/>
              <w:sz w:val="24"/>
              <w:szCs w:val="24"/>
            </w:rPr>
            <w:t>(1).</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Juwita, R., &amp; Rindiati, N. (2021). Pengaruh Pendapatan Premi Dan Hasil Underwriting Terhadap Laba Pada Pt Asuransi Jiwasraya (Persero) Periode 2008-2015. </w:t>
          </w:r>
          <w:r w:rsidRPr="00AA0F0C">
            <w:rPr>
              <w:rFonts w:ascii="Times New Roman" w:hAnsi="Times New Roman" w:cs="Times New Roman"/>
              <w:i/>
              <w:iCs/>
              <w:noProof/>
              <w:sz w:val="24"/>
              <w:szCs w:val="24"/>
            </w:rPr>
            <w:t>Land Journal</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(1), 21–31. https://doi.org/10.47491/landjournal.v1i1.591</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Kadek, N., Triana, R., Ayu, G., Rencana, K., &amp; Dewi, S. (2020). </w:t>
          </w:r>
          <w:r w:rsidRPr="00AA0F0C">
            <w:rPr>
              <w:rFonts w:ascii="Times New Roman" w:hAnsi="Times New Roman" w:cs="Times New Roman"/>
              <w:i/>
              <w:iCs/>
              <w:noProof/>
              <w:sz w:val="24"/>
              <w:szCs w:val="24"/>
            </w:rPr>
            <w:t>Pengaruh Pendapatan Premi , Hasil Investasi , Pertumbuhan Modal dan Hasil Underwriting terhadap Pertumbuhan Aset Perusahaan Asuransi</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10</w:t>
          </w:r>
          <w:r w:rsidRPr="00AA0F0C">
            <w:rPr>
              <w:rFonts w:ascii="Times New Roman" w:hAnsi="Times New Roman" w:cs="Times New Roman"/>
              <w:noProof/>
              <w:sz w:val="24"/>
              <w:szCs w:val="24"/>
            </w:rPr>
            <w:t>(3), 374–380.</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Klaim, B., &amp; Capital, B. (2020). </w:t>
          </w:r>
          <w:r w:rsidRPr="00AA0F0C">
            <w:rPr>
              <w:rFonts w:ascii="Times New Roman" w:hAnsi="Times New Roman" w:cs="Times New Roman"/>
              <w:i/>
              <w:iCs/>
              <w:noProof/>
              <w:sz w:val="24"/>
              <w:szCs w:val="24"/>
            </w:rPr>
            <w:t>Jpmb 155</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2</w:t>
          </w:r>
          <w:r w:rsidRPr="00AA0F0C">
            <w:rPr>
              <w:rFonts w:ascii="Times New Roman" w:hAnsi="Times New Roman" w:cs="Times New Roman"/>
              <w:noProof/>
              <w:sz w:val="24"/>
              <w:szCs w:val="24"/>
            </w:rPr>
            <w:t>(2), 155–166.</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Manajemen, P., Ekonomi, F., &amp; Pamulang, U. (2018). </w:t>
          </w:r>
          <w:r w:rsidRPr="00AA0F0C">
            <w:rPr>
              <w:rFonts w:ascii="Times New Roman" w:hAnsi="Times New Roman" w:cs="Times New Roman"/>
              <w:i/>
              <w:iCs/>
              <w:noProof/>
              <w:sz w:val="24"/>
              <w:szCs w:val="24"/>
            </w:rPr>
            <w:t>No Title</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(3), 88–106.</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Modal, P. P., Terhadap, A., Risk, R., Capital, B., Neto, P. P., Asuransi, P. P., &amp; Agus, S. S. (n.d.). </w:t>
          </w:r>
          <w:r w:rsidRPr="00AA0F0C">
            <w:rPr>
              <w:rFonts w:ascii="Times New Roman" w:hAnsi="Times New Roman" w:cs="Times New Roman"/>
              <w:i/>
              <w:iCs/>
              <w:noProof/>
              <w:sz w:val="24"/>
              <w:szCs w:val="24"/>
            </w:rPr>
            <w:t>Pengaruh Pertumbuhan Modal dan Aset Terhadap Rasio Risk Based Capital (RBC), Pertumbuhan Premi Neto dan Profitabilitas Perusahaan Asuransi (Kirmizi &amp; Susi Surya Agus)</w:t>
          </w:r>
          <w:r w:rsidRPr="00AA0F0C">
            <w:rPr>
              <w:rFonts w:ascii="Times New Roman" w:hAnsi="Times New Roman" w:cs="Times New Roman"/>
              <w:noProof/>
              <w:sz w:val="24"/>
              <w:szCs w:val="24"/>
            </w:rPr>
            <w:t>. 391–405.</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Nasution, N. H., &amp; Nanda, S. T. (2020). </w:t>
          </w:r>
          <w:r w:rsidRPr="00AA0F0C">
            <w:rPr>
              <w:rFonts w:ascii="Times New Roman" w:hAnsi="Times New Roman" w:cs="Times New Roman"/>
              <w:i/>
              <w:iCs/>
              <w:noProof/>
              <w:sz w:val="24"/>
              <w:szCs w:val="24"/>
            </w:rPr>
            <w:t>PENGARUH PENDAPATAN PREMI , HASIL UNDERWRITING ,</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17</w:t>
          </w:r>
          <w:r w:rsidRPr="00AA0F0C">
            <w:rPr>
              <w:rFonts w:ascii="Times New Roman" w:hAnsi="Times New Roman" w:cs="Times New Roman"/>
              <w:noProof/>
              <w:sz w:val="24"/>
              <w:szCs w:val="24"/>
            </w:rPr>
            <w:t>(1), 41–55.</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lastRenderedPageBreak/>
            <w:t xml:space="preserve">Pendapatan, P., Informasi, D. A. N., &amp; Ilmiah, J. (2015). </w:t>
          </w:r>
          <w:r w:rsidRPr="00AA0F0C">
            <w:rPr>
              <w:rFonts w:ascii="Times New Roman" w:hAnsi="Times New Roman" w:cs="Times New Roman"/>
              <w:i/>
              <w:iCs/>
              <w:noProof/>
              <w:sz w:val="24"/>
              <w:szCs w:val="24"/>
            </w:rPr>
            <w:t>Pengaruh pendapatan, resiko, premi, dan informasi terhadap preferensi masyarakat golongan menengah ke atas pada produk asuransi</w:t>
          </w:r>
          <w:r w:rsidRPr="00AA0F0C">
            <w:rPr>
              <w:rFonts w:ascii="Times New Roman" w:hAnsi="Times New Roman" w:cs="Times New Roman"/>
              <w:noProof/>
              <w:sz w:val="24"/>
              <w:szCs w:val="24"/>
            </w:rPr>
            <w:t>.</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Purnamasari, S. (1981). </w:t>
          </w:r>
          <w:r w:rsidRPr="00AA0F0C">
            <w:rPr>
              <w:rFonts w:ascii="Times New Roman" w:hAnsi="Times New Roman" w:cs="Times New Roman"/>
              <w:i/>
              <w:iCs/>
              <w:noProof/>
              <w:sz w:val="24"/>
              <w:szCs w:val="24"/>
            </w:rPr>
            <w:t>ASURANSI DALAM PERSPEKTIF ISLAM S. Purnamasari Dosen Tetap Yayasan Jurusan Ekonomi Syariah Fakultas Studi Islam UNISKA</w:t>
          </w:r>
          <w:r w:rsidRPr="00AA0F0C">
            <w:rPr>
              <w:rFonts w:ascii="Times New Roman" w:hAnsi="Times New Roman" w:cs="Times New Roman"/>
              <w:noProof/>
              <w:sz w:val="24"/>
              <w:szCs w:val="24"/>
            </w:rPr>
            <w:t>. 23–29.</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szCs w:val="24"/>
            </w:rPr>
          </w:pPr>
          <w:r w:rsidRPr="00AA0F0C">
            <w:rPr>
              <w:rFonts w:ascii="Times New Roman" w:hAnsi="Times New Roman" w:cs="Times New Roman"/>
              <w:noProof/>
              <w:sz w:val="24"/>
              <w:szCs w:val="24"/>
            </w:rPr>
            <w:t xml:space="preserve">Rahajeng, R. P. (2010). </w:t>
          </w:r>
          <w:r w:rsidRPr="00AA0F0C">
            <w:rPr>
              <w:rFonts w:ascii="Times New Roman" w:hAnsi="Times New Roman" w:cs="Times New Roman"/>
              <w:i/>
              <w:iCs/>
              <w:noProof/>
              <w:sz w:val="24"/>
              <w:szCs w:val="24"/>
            </w:rPr>
            <w:t>PENILAIAN KINERJA KEUANGAN PERUSAHAAN ASURANSI UMUM</w:t>
          </w:r>
          <w:r w:rsidRPr="00AA0F0C">
            <w:rPr>
              <w:rFonts w:ascii="Times New Roman" w:hAnsi="Times New Roman" w:cs="Times New Roman"/>
              <w:noProof/>
              <w:sz w:val="24"/>
              <w:szCs w:val="24"/>
            </w:rPr>
            <w:t>.</w:t>
          </w:r>
        </w:p>
        <w:p w:rsidR="00AA0F0C" w:rsidRPr="00AA0F0C" w:rsidRDefault="00AA0F0C" w:rsidP="00AA0F0C">
          <w:pPr>
            <w:widowControl w:val="0"/>
            <w:autoSpaceDE w:val="0"/>
            <w:autoSpaceDN w:val="0"/>
            <w:adjustRightInd w:val="0"/>
            <w:spacing w:before="480" w:after="100" w:line="240" w:lineRule="auto"/>
            <w:ind w:left="480" w:hanging="480"/>
            <w:rPr>
              <w:rFonts w:ascii="Times New Roman" w:hAnsi="Times New Roman" w:cs="Times New Roman"/>
              <w:noProof/>
              <w:sz w:val="24"/>
            </w:rPr>
          </w:pPr>
          <w:r w:rsidRPr="00AA0F0C">
            <w:rPr>
              <w:rFonts w:ascii="Times New Roman" w:hAnsi="Times New Roman" w:cs="Times New Roman"/>
              <w:noProof/>
              <w:sz w:val="24"/>
              <w:szCs w:val="24"/>
            </w:rPr>
            <w:t xml:space="preserve">Terdaftar, Y., Bursa, D. I., &amp; Indonesia, E. (2020). </w:t>
          </w:r>
          <w:r w:rsidRPr="00AA0F0C">
            <w:rPr>
              <w:rFonts w:ascii="Times New Roman" w:hAnsi="Times New Roman" w:cs="Times New Roman"/>
              <w:i/>
              <w:iCs/>
              <w:noProof/>
              <w:sz w:val="24"/>
              <w:szCs w:val="24"/>
            </w:rPr>
            <w:t>View metadata, citation and similar papers at core.ac.uk</w:t>
          </w:r>
          <w:r w:rsidRPr="00AA0F0C">
            <w:rPr>
              <w:rFonts w:ascii="Times New Roman" w:hAnsi="Times New Roman" w:cs="Times New Roman"/>
              <w:noProof/>
              <w:sz w:val="24"/>
              <w:szCs w:val="24"/>
            </w:rPr>
            <w:t xml:space="preserve">. </w:t>
          </w:r>
          <w:r w:rsidRPr="00AA0F0C">
            <w:rPr>
              <w:rFonts w:ascii="Times New Roman" w:hAnsi="Times New Roman" w:cs="Times New Roman"/>
              <w:i/>
              <w:iCs/>
              <w:noProof/>
              <w:sz w:val="24"/>
              <w:szCs w:val="24"/>
            </w:rPr>
            <w:t>1</w:t>
          </w:r>
          <w:r w:rsidRPr="00AA0F0C">
            <w:rPr>
              <w:rFonts w:ascii="Times New Roman" w:hAnsi="Times New Roman" w:cs="Times New Roman"/>
              <w:noProof/>
              <w:sz w:val="24"/>
              <w:szCs w:val="24"/>
            </w:rPr>
            <w:t>(Tahun).</w:t>
          </w:r>
        </w:p>
        <w:p w:rsidR="00B26C73" w:rsidRDefault="00503983" w:rsidP="00B26C73">
          <w:pPr>
            <w:widowControl w:val="0"/>
            <w:autoSpaceDE w:val="0"/>
            <w:autoSpaceDN w:val="0"/>
            <w:adjustRightInd w:val="0"/>
            <w:spacing w:before="480" w:after="100" w:afterAutospacing="1" w:line="240" w:lineRule="auto"/>
            <w:ind w:left="480" w:hanging="480"/>
          </w:pPr>
          <w:r w:rsidRPr="00D66857">
            <w:rPr>
              <w:rFonts w:ascii="Times New Roman" w:hAnsi="Times New Roman" w:cs="Times New Roman"/>
              <w:sz w:val="24"/>
              <w:szCs w:val="24"/>
            </w:rPr>
            <w:fldChar w:fldCharType="end"/>
          </w:r>
        </w:p>
      </w:sdtContent>
    </w:sdt>
    <w:p w:rsidR="00432492" w:rsidRDefault="00432492" w:rsidP="00B26C73">
      <w:pPr>
        <w:spacing w:after="100" w:afterAutospacing="1" w:line="240" w:lineRule="auto"/>
      </w:pPr>
    </w:p>
    <w:sectPr w:rsidR="00432492" w:rsidSect="003B39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E5" w:rsidRDefault="00511EE5" w:rsidP="00055AD7">
      <w:pPr>
        <w:spacing w:after="0" w:line="240" w:lineRule="auto"/>
      </w:pPr>
      <w:r>
        <w:separator/>
      </w:r>
    </w:p>
  </w:endnote>
  <w:endnote w:type="continuationSeparator" w:id="0">
    <w:p w:rsidR="00511EE5" w:rsidRDefault="00511EE5"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60114"/>
      <w:docPartObj>
        <w:docPartGallery w:val="Page Numbers (Bottom of Page)"/>
        <w:docPartUnique/>
      </w:docPartObj>
    </w:sdtPr>
    <w:sdtEndPr>
      <w:rPr>
        <w:noProof/>
      </w:rPr>
    </w:sdtEndPr>
    <w:sdtContent>
      <w:p w:rsidR="00641FE3" w:rsidRDefault="00641FE3">
        <w:pPr>
          <w:pStyle w:val="Footer"/>
          <w:jc w:val="center"/>
        </w:pPr>
        <w:r>
          <w:fldChar w:fldCharType="begin"/>
        </w:r>
        <w:r>
          <w:instrText xml:space="preserve"> PAGE   \* MERGEFORMAT </w:instrText>
        </w:r>
        <w:r>
          <w:fldChar w:fldCharType="separate"/>
        </w:r>
        <w:r w:rsidR="00AA0F0C">
          <w:rPr>
            <w:noProof/>
          </w:rPr>
          <w:t>11</w:t>
        </w:r>
        <w:r>
          <w:rPr>
            <w:noProof/>
          </w:rPr>
          <w:fldChar w:fldCharType="end"/>
        </w:r>
      </w:p>
    </w:sdtContent>
  </w:sdt>
  <w:p w:rsidR="00641FE3" w:rsidRDefault="0064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E5" w:rsidRDefault="00511EE5" w:rsidP="00055AD7">
      <w:pPr>
        <w:spacing w:after="0" w:line="240" w:lineRule="auto"/>
      </w:pPr>
      <w:r>
        <w:separator/>
      </w:r>
    </w:p>
  </w:footnote>
  <w:footnote w:type="continuationSeparator" w:id="0">
    <w:p w:rsidR="00511EE5" w:rsidRDefault="00511EE5"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F58"/>
    <w:multiLevelType w:val="hybridMultilevel"/>
    <w:tmpl w:val="1C203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85D75D2"/>
    <w:multiLevelType w:val="hybridMultilevel"/>
    <w:tmpl w:val="A54E3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8FA5027"/>
    <w:multiLevelType w:val="hybridMultilevel"/>
    <w:tmpl w:val="77EAA7F6"/>
    <w:lvl w:ilvl="0" w:tplc="9E907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4443A"/>
    <w:rsid w:val="00162ACE"/>
    <w:rsid w:val="001A0852"/>
    <w:rsid w:val="001F498A"/>
    <w:rsid w:val="0021505C"/>
    <w:rsid w:val="002B54D1"/>
    <w:rsid w:val="00397BA1"/>
    <w:rsid w:val="003B3997"/>
    <w:rsid w:val="003C42AF"/>
    <w:rsid w:val="00432492"/>
    <w:rsid w:val="0045402E"/>
    <w:rsid w:val="00503983"/>
    <w:rsid w:val="00511EE5"/>
    <w:rsid w:val="00641FE3"/>
    <w:rsid w:val="00762B28"/>
    <w:rsid w:val="007C5485"/>
    <w:rsid w:val="00832527"/>
    <w:rsid w:val="009002E0"/>
    <w:rsid w:val="009747B6"/>
    <w:rsid w:val="00AA0F0C"/>
    <w:rsid w:val="00AA18E6"/>
    <w:rsid w:val="00AA6852"/>
    <w:rsid w:val="00AD420C"/>
    <w:rsid w:val="00AE097D"/>
    <w:rsid w:val="00B26C73"/>
    <w:rsid w:val="00BA145A"/>
    <w:rsid w:val="00C072E2"/>
    <w:rsid w:val="00D5257D"/>
    <w:rsid w:val="00E646A3"/>
    <w:rsid w:val="00E80CA4"/>
    <w:rsid w:val="00F15135"/>
    <w:rsid w:val="00F57F04"/>
    <w:rsid w:val="00FC749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C3514"/>
  <w15:docId w15:val="{3682230D-6D7B-402D-A527-CE754B7D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1F498A"/>
    <w:rPr>
      <w:color w:val="0563C1" w:themeColor="hyperlink"/>
      <w:u w:val="single"/>
    </w:rPr>
  </w:style>
  <w:style w:type="paragraph" w:styleId="ListParagraph">
    <w:name w:val="List Paragraph"/>
    <w:basedOn w:val="Normal"/>
    <w:uiPriority w:val="34"/>
    <w:qFormat/>
    <w:rsid w:val="00FC749F"/>
    <w:pPr>
      <w:ind w:left="720"/>
      <w:contextualSpacing/>
    </w:pPr>
  </w:style>
  <w:style w:type="paragraph" w:styleId="BalloonText">
    <w:name w:val="Balloon Text"/>
    <w:basedOn w:val="Normal"/>
    <w:link w:val="BalloonTextChar"/>
    <w:uiPriority w:val="99"/>
    <w:semiHidden/>
    <w:unhideWhenUsed/>
    <w:rsid w:val="00FC7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ma.dani@student.umpalopo.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d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33A9-D478-4576-BD86-68B6E4BA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8137</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Asus</cp:lastModifiedBy>
  <cp:revision>5</cp:revision>
  <dcterms:created xsi:type="dcterms:W3CDTF">2023-01-20T02:25:00Z</dcterms:created>
  <dcterms:modified xsi:type="dcterms:W3CDTF">2023-02-01T06:35:00Z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415b8bd1-10ed-3a47-9d17-bac4411f4594</vt:lpwstr>
  </property>
</Properties>
</file>